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B3CE" w14:textId="5A1E286C" w:rsidR="000652E7" w:rsidRPr="00F3120B" w:rsidRDefault="000652E7" w:rsidP="00665B4D">
      <w:pPr>
        <w:rPr>
          <w:lang w:val="en-GB"/>
        </w:rPr>
      </w:pPr>
      <w:bookmarkStart w:id="0" w:name="_GoBack"/>
      <w:bookmarkEnd w:id="0"/>
      <w:r w:rsidRPr="00F3120B">
        <w:rPr>
          <w:noProof/>
        </w:rPr>
        <mc:AlternateContent>
          <mc:Choice Requires="wps">
            <w:drawing>
              <wp:inline distT="0" distB="0" distL="0" distR="0" wp14:anchorId="52019EC9" wp14:editId="23355FE9">
                <wp:extent cx="6141600" cy="1073150"/>
                <wp:effectExtent l="0" t="0" r="1206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14:paraId="2C6B97C4" w14:textId="719CBE40" w:rsidR="000652E7" w:rsidRPr="00665B4D" w:rsidRDefault="00014FC1" w:rsidP="00665B4D">
                            <w:pPr>
                              <w:pStyle w:val="Title"/>
                              <w:rPr>
                                <w:rFonts w:asciiTheme="majorHAnsi" w:hAnsiTheme="majorHAnsi"/>
                                <w:sz w:val="32"/>
                                <w:szCs w:val="32"/>
                              </w:rPr>
                            </w:pPr>
                            <w:r>
                              <w:rPr>
                                <w:rFonts w:asciiTheme="majorHAnsi" w:hAnsiTheme="majorHAnsi"/>
                                <w:sz w:val="32"/>
                                <w:szCs w:val="32"/>
                              </w:rPr>
                              <w:t>Workshop Pre-Read: Affected Populations</w:t>
                            </w:r>
                          </w:p>
                          <w:p w14:paraId="78FD410A" w14:textId="5D1BD7A1" w:rsidR="00AF2599" w:rsidRDefault="00193166" w:rsidP="00665B4D">
                            <w:pPr>
                              <w:pStyle w:val="Title"/>
                            </w:pPr>
                            <w:r>
                              <w:t>ETC2020 Strategy Process</w:t>
                            </w:r>
                            <w:r w:rsidR="00AF2599">
                              <w:t xml:space="preserve">, </w:t>
                            </w:r>
                            <w:r w:rsidR="00BF7FDD" w:rsidRPr="00AF2599">
                              <w:t>March 2015</w:t>
                            </w:r>
                          </w:p>
                          <w:p w14:paraId="35D85B48" w14:textId="26B51AF7" w:rsidR="000652E7" w:rsidRPr="00665B4D" w:rsidRDefault="00AF2599" w:rsidP="00665B4D">
                            <w:pPr>
                              <w:pStyle w:val="Title"/>
                              <w:rPr>
                                <w:sz w:val="22"/>
                                <w:szCs w:val="22"/>
                              </w:rPr>
                            </w:pPr>
                            <w:r w:rsidRPr="00AF2599">
                              <w:rPr>
                                <w:sz w:val="22"/>
                                <w:szCs w:val="22"/>
                              </w:rPr>
                              <w:t xml:space="preserve">Compiled by Mark </w:t>
                            </w:r>
                            <w:proofErr w:type="spellStart"/>
                            <w:r w:rsidRPr="00AF2599">
                              <w:rPr>
                                <w:sz w:val="22"/>
                                <w:szCs w:val="22"/>
                              </w:rPr>
                              <w:t>Banbury</w:t>
                            </w:r>
                            <w:proofErr w:type="spellEnd"/>
                            <w:r w:rsidRPr="00AF2599">
                              <w:rPr>
                                <w:sz w:val="22"/>
                                <w:szCs w:val="22"/>
                              </w:rPr>
                              <w:t xml:space="preserve">, </w:t>
                            </w:r>
                            <w:proofErr w:type="spellStart"/>
                            <w:r w:rsidRPr="00AF2599">
                              <w:rPr>
                                <w:sz w:val="22"/>
                                <w:szCs w:val="22"/>
                              </w:rPr>
                              <w:t>Workstream</w:t>
                            </w:r>
                            <w:proofErr w:type="spellEnd"/>
                            <w:r w:rsidRPr="00AF2599">
                              <w:rPr>
                                <w:sz w:val="22"/>
                                <w:szCs w:val="22"/>
                              </w:rPr>
                              <w:t xml:space="preserve"> Facilitator</w:t>
                            </w:r>
                          </w:p>
                        </w:txbxContent>
                      </wps:txbx>
                      <wps:bodyPr rot="0" vert="horz" wrap="square" lIns="91440" tIns="45720" rIns="91440" bIns="45720" anchor="ctr" anchorCtr="0" upright="1">
                        <a:spAutoFit/>
                      </wps:bodyPr>
                    </wps:wsp>
                  </a:graphicData>
                </a:graphic>
              </wp:inline>
            </w:drawing>
          </mc:Choice>
          <mc:Fallback>
            <w:pict>
              <v:shapetype w14:anchorId="52019EC9"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" fillcolor="#d8d8d8" strokecolor="#f58220" strokeweight="1pt">
                <v:textbox style="mso-fit-shape-to-text:t">
                  <w:txbxContent>
                    <w:p w14:paraId="2C6B97C4" w14:textId="719CBE40" w:rsidR="000652E7" w:rsidRPr="00665B4D" w:rsidRDefault="00014FC1" w:rsidP="00665B4D">
                      <w:pPr>
                        <w:pStyle w:val="Title"/>
                        <w:rPr>
                          <w:rFonts w:asciiTheme="majorHAnsi" w:hAnsiTheme="majorHAnsi"/>
                          <w:sz w:val="32"/>
                          <w:szCs w:val="32"/>
                        </w:rPr>
                      </w:pPr>
                      <w:r>
                        <w:rPr>
                          <w:rFonts w:asciiTheme="majorHAnsi" w:hAnsiTheme="majorHAnsi"/>
                          <w:sz w:val="32"/>
                          <w:szCs w:val="32"/>
                        </w:rPr>
                        <w:t>Workshop Pre-Read: Affected Populations</w:t>
                      </w:r>
                    </w:p>
                    <w:p w14:paraId="78FD410A" w14:textId="5D1BD7A1" w:rsidR="00AF2599" w:rsidRDefault="00193166" w:rsidP="00665B4D">
                      <w:pPr>
                        <w:pStyle w:val="Title"/>
                      </w:pPr>
                      <w:r>
                        <w:t>ETC2020 Strategy Process</w:t>
                      </w:r>
                      <w:r w:rsidR="00AF2599">
                        <w:t xml:space="preserve">, </w:t>
                      </w:r>
                      <w:r w:rsidR="00BF7FDD" w:rsidRPr="00AF2599">
                        <w:t>March 2015</w:t>
                      </w:r>
                    </w:p>
                    <w:p w14:paraId="35D85B48" w14:textId="26B51AF7" w:rsidR="000652E7" w:rsidRPr="00665B4D" w:rsidRDefault="00AF2599" w:rsidP="00665B4D">
                      <w:pPr>
                        <w:pStyle w:val="Title"/>
                        <w:rPr>
                          <w:sz w:val="22"/>
                          <w:szCs w:val="22"/>
                        </w:rPr>
                      </w:pPr>
                      <w:r w:rsidRPr="00AF2599">
                        <w:rPr>
                          <w:sz w:val="22"/>
                          <w:szCs w:val="22"/>
                        </w:rPr>
                        <w:t xml:space="preserve">Compiled by Mark </w:t>
                      </w:r>
                      <w:proofErr w:type="spellStart"/>
                      <w:r w:rsidRPr="00AF2599">
                        <w:rPr>
                          <w:sz w:val="22"/>
                          <w:szCs w:val="22"/>
                        </w:rPr>
                        <w:t>Banbury</w:t>
                      </w:r>
                      <w:proofErr w:type="spellEnd"/>
                      <w:r w:rsidRPr="00AF2599">
                        <w:rPr>
                          <w:sz w:val="22"/>
                          <w:szCs w:val="22"/>
                        </w:rPr>
                        <w:t xml:space="preserve">, </w:t>
                      </w:r>
                      <w:proofErr w:type="spellStart"/>
                      <w:r w:rsidRPr="00AF2599">
                        <w:rPr>
                          <w:sz w:val="22"/>
                          <w:szCs w:val="22"/>
                        </w:rPr>
                        <w:t>Workstream</w:t>
                      </w:r>
                      <w:proofErr w:type="spellEnd"/>
                      <w:r w:rsidRPr="00AF2599">
                        <w:rPr>
                          <w:sz w:val="22"/>
                          <w:szCs w:val="22"/>
                        </w:rPr>
                        <w:t xml:space="preserve"> Facilitator</w:t>
                      </w:r>
                    </w:p>
                  </w:txbxContent>
                </v:textbox>
                <w10:anchorlock/>
              </v:shape>
            </w:pict>
          </mc:Fallback>
        </mc:AlternateContent>
      </w:r>
    </w:p>
    <w:p w14:paraId="2FBB89E9" w14:textId="77777777" w:rsidR="00210890" w:rsidRPr="00F3120B" w:rsidRDefault="00210890" w:rsidP="00210890">
      <w:pPr>
        <w:pStyle w:val="Heading2"/>
        <w:rPr>
          <w:lang w:val="en-GB"/>
        </w:rPr>
      </w:pPr>
      <w:r w:rsidRPr="00F3120B">
        <w:rPr>
          <w:lang w:val="en-GB"/>
        </w:rPr>
        <w:t>Value Proposition</w:t>
      </w:r>
    </w:p>
    <w:p w14:paraId="13135152" w14:textId="77777777" w:rsidR="00210890" w:rsidRPr="00210890" w:rsidRDefault="00210890" w:rsidP="00210890">
      <w:pPr>
        <w:rPr>
          <w:i/>
          <w:lang w:val="en-GB"/>
        </w:rPr>
      </w:pPr>
      <w:r w:rsidRPr="00210890">
        <w:rPr>
          <w:i/>
          <w:lang w:val="en-GB"/>
        </w:rPr>
        <w:t>For disaster affected populations needing to communicate with each other, with humanitarians, or with government or commercial services, we ensure/enable a dedicated and principled communications solution, by brokering accredited connectivity and services through our extended partnership network. For the direct humanitarian benefit of crisis affected populations, we facilitate principled restoration or extension of commercial communications service capabilities by brokering accredited and prioritized policy, regulatory, and partnership attention to communication as aid.</w:t>
      </w:r>
    </w:p>
    <w:p w14:paraId="7CB143B5" w14:textId="77777777" w:rsidR="00210890" w:rsidRDefault="00210890" w:rsidP="00AF2599">
      <w:pPr>
        <w:rPr>
          <w:lang w:val="en-CA"/>
        </w:rPr>
      </w:pPr>
    </w:p>
    <w:p w14:paraId="377F7515" w14:textId="70ACDE44" w:rsidR="00210890" w:rsidRPr="001F4D2C" w:rsidRDefault="001F4D2C" w:rsidP="001F4D2C">
      <w:pPr>
        <w:pStyle w:val="Heading2"/>
        <w:rPr>
          <w:lang w:val="en-GB"/>
        </w:rPr>
      </w:pPr>
      <w:r>
        <w:rPr>
          <w:lang w:val="en-GB"/>
        </w:rPr>
        <w:t>Discussion Highlights</w:t>
      </w:r>
    </w:p>
    <w:p w14:paraId="14770B6B" w14:textId="77777777" w:rsidR="00AF2599" w:rsidRDefault="00AF2599" w:rsidP="00AF2599">
      <w:pPr>
        <w:rPr>
          <w:lang w:val="en-CA"/>
        </w:rPr>
      </w:pPr>
      <w:r>
        <w:rPr>
          <w:lang w:val="en-CA"/>
        </w:rPr>
        <w:t xml:space="preserve">The ETC is looking to expand it remit beyond connectivity for UN agencies, NGOs and other civil society organization, to include services which are directly delivered to populations who are affected by disasters.  Moving beyond its traditional role presents a number of challenges for the ETC, but with the understanding that </w:t>
      </w:r>
      <w:r w:rsidRPr="00CA783E">
        <w:rPr>
          <w:i/>
          <w:lang w:val="en-CA"/>
        </w:rPr>
        <w:t>communications is aid</w:t>
      </w:r>
      <w:r>
        <w:rPr>
          <w:lang w:val="en-CA"/>
        </w:rPr>
        <w:t xml:space="preserve"> in a disaster, it is critical that this shift occurs in order to provide a core set of services that allow communities to quickly regain their communications links to wider society.  This shift can be described as moving from “inside the wire” where control (over technologies, placement, services and actors) was high and limited in scope, to a move to being “outside the wire” where new technologies, new methodologies and new audiences would need to be embraced.</w:t>
      </w:r>
    </w:p>
    <w:p w14:paraId="35FDCA69" w14:textId="77777777" w:rsidR="00AF2599" w:rsidRDefault="00AF2599" w:rsidP="00AF2599">
      <w:pPr>
        <w:rPr>
          <w:lang w:val="en-CA"/>
        </w:rPr>
      </w:pPr>
      <w:r>
        <w:rPr>
          <w:lang w:val="en-CA"/>
        </w:rPr>
        <w:t xml:space="preserve">To date the </w:t>
      </w:r>
      <w:proofErr w:type="spellStart"/>
      <w:r>
        <w:rPr>
          <w:lang w:val="en-CA"/>
        </w:rPr>
        <w:t>worksteam</w:t>
      </w:r>
      <w:proofErr w:type="spellEnd"/>
      <w:r>
        <w:rPr>
          <w:lang w:val="en-CA"/>
        </w:rPr>
        <w:t xml:space="preserve"> has focused on five key questions:</w:t>
      </w:r>
    </w:p>
    <w:p w14:paraId="644ADD02" w14:textId="77777777" w:rsidR="00AF2599" w:rsidRDefault="00AF2599" w:rsidP="00AF2599">
      <w:pPr>
        <w:pStyle w:val="ListParagraph"/>
        <w:numPr>
          <w:ilvl w:val="0"/>
          <w:numId w:val="28"/>
        </w:numPr>
        <w:spacing w:after="160" w:line="259" w:lineRule="auto"/>
        <w:jc w:val="left"/>
        <w:rPr>
          <w:lang w:val="en-CA"/>
        </w:rPr>
      </w:pPr>
      <w:r w:rsidRPr="00FD2ECE">
        <w:rPr>
          <w:lang w:val="en-CA"/>
        </w:rPr>
        <w:t>Is the vision statement above an accurate reflection of the role the ETC wants to and can play in this area?</w:t>
      </w:r>
    </w:p>
    <w:p w14:paraId="270D7EC7" w14:textId="77777777" w:rsidR="00AF2599" w:rsidRDefault="00AF2599" w:rsidP="00AF2599">
      <w:pPr>
        <w:pStyle w:val="ListParagraph"/>
        <w:numPr>
          <w:ilvl w:val="0"/>
          <w:numId w:val="28"/>
        </w:numPr>
        <w:spacing w:after="160" w:line="259" w:lineRule="auto"/>
        <w:jc w:val="left"/>
        <w:rPr>
          <w:lang w:val="en-CA"/>
        </w:rPr>
      </w:pPr>
      <w:r w:rsidRPr="00FD2ECE">
        <w:rPr>
          <w:lang w:val="en-CA"/>
        </w:rPr>
        <w:t>What does services to affected populations mean, who are the targets, what services will be deliver, where and delivery will be undertaken by whom?</w:t>
      </w:r>
    </w:p>
    <w:p w14:paraId="4BC56518" w14:textId="77777777" w:rsidR="00AF2599" w:rsidRDefault="00AF2599" w:rsidP="00AF2599">
      <w:pPr>
        <w:pStyle w:val="ListParagraph"/>
        <w:numPr>
          <w:ilvl w:val="0"/>
          <w:numId w:val="28"/>
        </w:numPr>
        <w:spacing w:after="160" w:line="259" w:lineRule="auto"/>
        <w:jc w:val="left"/>
        <w:rPr>
          <w:lang w:val="en-CA"/>
        </w:rPr>
      </w:pPr>
      <w:r w:rsidRPr="00FD2ECE">
        <w:rPr>
          <w:lang w:val="en-CA"/>
        </w:rPr>
        <w:t>What is the role of the ETC in delivering services to affected populations (the lead actor, a support, a coordinator, a collaborator)?</w:t>
      </w:r>
    </w:p>
    <w:p w14:paraId="6EC42A86" w14:textId="77777777" w:rsidR="00AF2599" w:rsidRDefault="00AF2599" w:rsidP="00AF2599">
      <w:pPr>
        <w:pStyle w:val="ListParagraph"/>
        <w:numPr>
          <w:ilvl w:val="0"/>
          <w:numId w:val="28"/>
        </w:numPr>
        <w:spacing w:after="160" w:line="259" w:lineRule="auto"/>
        <w:jc w:val="left"/>
        <w:rPr>
          <w:lang w:val="en-CA"/>
        </w:rPr>
      </w:pPr>
      <w:r w:rsidRPr="00FD2ECE">
        <w:rPr>
          <w:lang w:val="en-CA"/>
        </w:rPr>
        <w:t>What barriers (such as political, economic, social or geographic) do you see for the ETC when it expands its remit into this area?</w:t>
      </w:r>
    </w:p>
    <w:p w14:paraId="76A04A97" w14:textId="77777777" w:rsidR="00AF2599" w:rsidRPr="00FD2ECE" w:rsidRDefault="00AF2599" w:rsidP="00AF2599">
      <w:pPr>
        <w:pStyle w:val="ListParagraph"/>
        <w:numPr>
          <w:ilvl w:val="0"/>
          <w:numId w:val="28"/>
        </w:numPr>
        <w:spacing w:after="160" w:line="259" w:lineRule="auto"/>
        <w:jc w:val="left"/>
        <w:rPr>
          <w:lang w:val="en-CA"/>
        </w:rPr>
      </w:pPr>
      <w:r w:rsidRPr="00FD2ECE">
        <w:rPr>
          <w:lang w:val="en-CA"/>
        </w:rPr>
        <w:t>Who are the other actors in that provide services to affected communications that the ETC must co-ordinate its efforts with?</w:t>
      </w:r>
    </w:p>
    <w:p w14:paraId="7E5A830E" w14:textId="1F42CAA0" w:rsidR="00AF2599" w:rsidRDefault="0082291A" w:rsidP="00AF2599">
      <w:pPr>
        <w:rPr>
          <w:lang w:val="en-CA"/>
        </w:rPr>
      </w:pPr>
      <w:r>
        <w:rPr>
          <w:lang w:val="en-CA"/>
        </w:rPr>
        <w:t>Based on the discussions there</w:t>
      </w:r>
      <w:r w:rsidR="00AF2599">
        <w:rPr>
          <w:lang w:val="en-CA"/>
        </w:rPr>
        <w:t xml:space="preserve"> is a broad alignment that the visioning statement is correct, but the role of the ETC need</w:t>
      </w:r>
      <w:r>
        <w:rPr>
          <w:lang w:val="en-CA"/>
        </w:rPr>
        <w:t xml:space="preserve">s to be more closely defined. </w:t>
      </w:r>
      <w:r w:rsidR="00AF2599">
        <w:rPr>
          <w:lang w:val="en-CA"/>
        </w:rPr>
        <w:t xml:space="preserve">The ETC needs to ascertain if it is the provider of these services, or is the coordinating agency that brings together existing providers (government, industry, private sector, civil </w:t>
      </w:r>
      <w:r w:rsidR="00AF2599">
        <w:rPr>
          <w:lang w:val="en-CA"/>
        </w:rPr>
        <w:lastRenderedPageBreak/>
        <w:t>society and NGOs). This is somewhat challenging to the role of the ETC if it is to provide services that could put us in direct conflict with these existing disaster focused actors.</w:t>
      </w:r>
      <w:r w:rsidR="00BB2D4C">
        <w:rPr>
          <w:lang w:val="en-CA"/>
        </w:rPr>
        <w:t xml:space="preserve"> </w:t>
      </w:r>
      <w:r w:rsidR="00AF2599">
        <w:rPr>
          <w:lang w:val="en-CA"/>
        </w:rPr>
        <w:t xml:space="preserve">The politics of implementing this change will need to be carefully managed with </w:t>
      </w:r>
      <w:r w:rsidR="00BB2D4C">
        <w:rPr>
          <w:lang w:val="en-CA"/>
        </w:rPr>
        <w:t xml:space="preserve">the other humanitarian actors. </w:t>
      </w:r>
      <w:r w:rsidR="00AF2599">
        <w:rPr>
          <w:lang w:val="en-CA"/>
        </w:rPr>
        <w:t>Also, there is a need to have agreements in place well in advance of a disaster with governments, some of who still do not allow the setup of satellite based communication services as a method of quick restoration of impacted communications links following a disaster</w:t>
      </w:r>
      <w:r w:rsidR="00BB2D4C">
        <w:rPr>
          <w:lang w:val="en-CA"/>
        </w:rPr>
        <w:t>.</w:t>
      </w:r>
    </w:p>
    <w:p w14:paraId="7162A831" w14:textId="77777777" w:rsidR="00AF2599" w:rsidRDefault="00AF2599" w:rsidP="00AF2599">
      <w:pPr>
        <w:rPr>
          <w:lang w:val="en-CA"/>
        </w:rPr>
      </w:pPr>
      <w:r>
        <w:rPr>
          <w:lang w:val="en-CA"/>
        </w:rPr>
        <w:t>To fully explore the role of the ETC, we need a definition of the range of services which will be delivered to affected populations.  Discussions (and broad agreement) have focused on the following services:</w:t>
      </w:r>
    </w:p>
    <w:p w14:paraId="70DB6698" w14:textId="77777777" w:rsidR="00AF2599" w:rsidRDefault="00AF2599" w:rsidP="00AF2599">
      <w:pPr>
        <w:pStyle w:val="ListParagraph"/>
        <w:numPr>
          <w:ilvl w:val="0"/>
          <w:numId w:val="29"/>
        </w:numPr>
        <w:spacing w:after="160" w:line="259" w:lineRule="auto"/>
        <w:jc w:val="left"/>
        <w:rPr>
          <w:lang w:val="en-CA"/>
        </w:rPr>
      </w:pPr>
      <w:r>
        <w:rPr>
          <w:lang w:val="en-CA"/>
        </w:rPr>
        <w:t>Voice (mobile)</w:t>
      </w:r>
    </w:p>
    <w:p w14:paraId="2BFBCCBB" w14:textId="77777777" w:rsidR="00AF2599" w:rsidRDefault="00AF2599" w:rsidP="00AF2599">
      <w:pPr>
        <w:pStyle w:val="ListParagraph"/>
        <w:numPr>
          <w:ilvl w:val="0"/>
          <w:numId w:val="29"/>
        </w:numPr>
        <w:spacing w:after="160" w:line="259" w:lineRule="auto"/>
        <w:jc w:val="left"/>
        <w:rPr>
          <w:lang w:val="en-CA"/>
        </w:rPr>
      </w:pPr>
      <w:r w:rsidRPr="00066720">
        <w:rPr>
          <w:lang w:val="en-CA"/>
        </w:rPr>
        <w:t>Data</w:t>
      </w:r>
    </w:p>
    <w:p w14:paraId="75E9F0FB" w14:textId="77777777" w:rsidR="00AF2599" w:rsidRDefault="00AF2599" w:rsidP="00AF2599">
      <w:pPr>
        <w:pStyle w:val="ListParagraph"/>
        <w:numPr>
          <w:ilvl w:val="0"/>
          <w:numId w:val="29"/>
        </w:numPr>
        <w:spacing w:after="160" w:line="259" w:lineRule="auto"/>
        <w:jc w:val="left"/>
        <w:rPr>
          <w:lang w:val="en-CA"/>
        </w:rPr>
      </w:pPr>
      <w:r>
        <w:rPr>
          <w:lang w:val="en-CA"/>
        </w:rPr>
        <w:t>Energy</w:t>
      </w:r>
    </w:p>
    <w:p w14:paraId="2ACEBF3A" w14:textId="7ECF275E" w:rsidR="00AF2599" w:rsidRDefault="00AF2599" w:rsidP="00AF2599">
      <w:pPr>
        <w:rPr>
          <w:lang w:val="en-CA"/>
        </w:rPr>
      </w:pPr>
      <w:r>
        <w:rPr>
          <w:lang w:val="en-CA"/>
        </w:rPr>
        <w:t>However, the need to potentially provide or supplement other services which could include the restoration of traditional communications mechanisms (such as radio, television, or hard line phone systems) has also been hinted</w:t>
      </w:r>
      <w:r w:rsidR="00BB2D4C">
        <w:rPr>
          <w:lang w:val="en-CA"/>
        </w:rPr>
        <w:t xml:space="preserve"> at in discussions. </w:t>
      </w:r>
      <w:r>
        <w:rPr>
          <w:lang w:val="en-CA"/>
        </w:rPr>
        <w:t>There is also potentially a need for applications that enable communications for affected communities in the aftermath of a disaster (to track where help is needed, what help is needed, and to gather data on the overall impact of the disaster on the communities)</w:t>
      </w:r>
      <w:r w:rsidR="009C1FFB">
        <w:rPr>
          <w:lang w:val="en-CA"/>
        </w:rPr>
        <w:t xml:space="preserve">. </w:t>
      </w:r>
      <w:r>
        <w:rPr>
          <w:lang w:val="en-CA"/>
        </w:rPr>
        <w:t>This bring the challenge of scale in responding to disasters with service delivery to affected populations, since the ETC would be moving from assisting dozens of actors in a crisis, to potentially working with millions of people who have been impacted.  This creates a challenge to deliver services at scale, especially when it comes to the delivery of bandwidth dependent services which could be unaffordable when provided to a large target audience.</w:t>
      </w:r>
      <w:r w:rsidR="009C1FFB">
        <w:rPr>
          <w:lang w:val="en-CA"/>
        </w:rPr>
        <w:t xml:space="preserve"> </w:t>
      </w:r>
      <w:r>
        <w:rPr>
          <w:lang w:val="en-CA"/>
        </w:rPr>
        <w:t>Perhaps a key consideration would be to look more at broadcast services, and particularly restoration of AM/FM radio and distribution of wind-up radio devices in order to provide for an information dissemination channel that could be quickly setup and easily maintained.</w:t>
      </w:r>
    </w:p>
    <w:p w14:paraId="588AD914" w14:textId="6B134686" w:rsidR="00AF2599" w:rsidRDefault="00AF2599" w:rsidP="00AF2599">
      <w:pPr>
        <w:rPr>
          <w:lang w:val="en-CA"/>
        </w:rPr>
      </w:pPr>
      <w:r>
        <w:rPr>
          <w:lang w:val="en-CA"/>
        </w:rPr>
        <w:t>The challenge of capacity building and providing resilience against disasters is also a key consideration but this would also entail an expansion of the role of the ETC from disaster response, to disaster risk reduction and preparedness. The concept of providing the pipeline for digital aid is also a key consideration as many of the humanitarian actors move away from distributions involving cash to e-vouchers.</w:t>
      </w:r>
    </w:p>
    <w:p w14:paraId="61B6B944" w14:textId="77777777" w:rsidR="00AF2599" w:rsidRPr="00066720" w:rsidRDefault="00AF2599" w:rsidP="00AF2599">
      <w:pPr>
        <w:rPr>
          <w:lang w:val="en-CA"/>
        </w:rPr>
      </w:pPr>
      <w:r>
        <w:rPr>
          <w:lang w:val="en-CA"/>
        </w:rPr>
        <w:t>In true collaborative style and utilizing the best development practices of community involvement, the group has discussed the need to involve communities in the discussion of what services would be needed to be restored and allow the communities to input where the priorities should sit with the ETC.  Communications should not be solely “broadcast” but two way allowing for the community to have a voice, and a mechanism to communicate with each other and key humanitarian actors.</w:t>
      </w:r>
    </w:p>
    <w:p w14:paraId="39EE6036" w14:textId="77777777" w:rsidR="00AF2599" w:rsidRPr="001C3720" w:rsidRDefault="00AF2599" w:rsidP="00AF2599">
      <w:pPr>
        <w:rPr>
          <w:lang w:val="en-CA"/>
        </w:rPr>
      </w:pPr>
      <w:r>
        <w:rPr>
          <w:lang w:val="en-CA"/>
        </w:rPr>
        <w:t>The overall challenge in this is in having the ETC expand rapidly beyond its existing core mandate, and in doing so sp</w:t>
      </w:r>
      <w:r w:rsidRPr="00303285">
        <w:rPr>
          <w:lang w:val="en-CA"/>
        </w:rPr>
        <w:t xml:space="preserve">reading ourselves too thin and taking on too much. </w:t>
      </w:r>
      <w:r>
        <w:rPr>
          <w:lang w:val="en-CA"/>
        </w:rPr>
        <w:t>At the crux of this concern is the funding model that would need to be enable in order to facilitate the scaling up of an expanded ETC response.</w:t>
      </w:r>
    </w:p>
    <w:p w14:paraId="76F3585C" w14:textId="77777777" w:rsidR="00A43149" w:rsidRPr="00F3120B" w:rsidRDefault="00A43149" w:rsidP="00084428">
      <w:pPr>
        <w:rPr>
          <w:lang w:val="en-GB"/>
        </w:rPr>
      </w:pPr>
    </w:p>
    <w:p w14:paraId="1FBAABE3" w14:textId="77777777" w:rsidR="00F635E2" w:rsidRDefault="00F635E2">
      <w:pPr>
        <w:spacing w:after="200"/>
        <w:jc w:val="left"/>
        <w:rPr>
          <w:rFonts w:asciiTheme="majorHAnsi" w:eastAsiaTheme="majorEastAsia" w:hAnsiTheme="majorHAnsi" w:cstheme="majorBidi"/>
          <w:color w:val="0054A6"/>
          <w:sz w:val="26"/>
          <w:szCs w:val="26"/>
          <w:lang w:val="en-GB"/>
        </w:rPr>
      </w:pPr>
      <w:r>
        <w:rPr>
          <w:lang w:val="en-GB"/>
        </w:rPr>
        <w:br w:type="page"/>
      </w:r>
    </w:p>
    <w:p w14:paraId="40B99EC1" w14:textId="693B3705" w:rsidR="00FE1FEF" w:rsidRPr="00F3120B" w:rsidRDefault="00173E24" w:rsidP="008040EF">
      <w:pPr>
        <w:pStyle w:val="Heading2"/>
        <w:rPr>
          <w:lang w:val="en-GB"/>
        </w:rPr>
      </w:pPr>
      <w:r w:rsidRPr="00F3120B">
        <w:rPr>
          <w:lang w:val="en-GB"/>
        </w:rPr>
        <w:lastRenderedPageBreak/>
        <w:t>Key</w:t>
      </w:r>
      <w:r w:rsidR="00FE1FEF" w:rsidRPr="00F3120B">
        <w:rPr>
          <w:lang w:val="en-GB"/>
        </w:rPr>
        <w:t xml:space="preserve"> Areas</w:t>
      </w:r>
    </w:p>
    <w:p w14:paraId="288C03C9" w14:textId="148471AC" w:rsidR="00DB21CA" w:rsidRDefault="00D136EF" w:rsidP="00DB21CA">
      <w:pPr>
        <w:rPr>
          <w:lang w:val="en-GB"/>
        </w:rPr>
      </w:pPr>
      <w:r>
        <w:rPr>
          <w:lang w:val="en-GB"/>
        </w:rPr>
        <w:t>Proposed areas of focus include:</w:t>
      </w:r>
    </w:p>
    <w:p w14:paraId="7996428F" w14:textId="0F561BAA" w:rsidR="00D136EF" w:rsidRDefault="005B283C" w:rsidP="001D20C2">
      <w:pPr>
        <w:pStyle w:val="ListParagraph"/>
        <w:numPr>
          <w:ilvl w:val="0"/>
          <w:numId w:val="27"/>
        </w:numPr>
        <w:rPr>
          <w:lang w:val="en-GB"/>
        </w:rPr>
      </w:pPr>
      <w:r w:rsidRPr="005B283C">
        <w:rPr>
          <w:lang w:val="en-GB"/>
        </w:rPr>
        <w:t>Coordination, facilitation and advocacy with local carriers/MNOs</w:t>
      </w:r>
      <w:r w:rsidR="001D20C2" w:rsidRPr="001D20C2">
        <w:rPr>
          <w:lang w:val="en-GB"/>
        </w:rPr>
        <w:t xml:space="preserve"> to ensure infrastructure stability and provision in energy and power to make that </w:t>
      </w:r>
      <w:proofErr w:type="spellStart"/>
      <w:r w:rsidR="001D20C2" w:rsidRPr="001D20C2">
        <w:rPr>
          <w:lang w:val="en-GB"/>
        </w:rPr>
        <w:t>infrastrure</w:t>
      </w:r>
      <w:proofErr w:type="spellEnd"/>
      <w:r w:rsidR="001D20C2" w:rsidRPr="001D20C2">
        <w:rPr>
          <w:lang w:val="en-GB"/>
        </w:rPr>
        <w:t xml:space="preserve"> useful</w:t>
      </w:r>
    </w:p>
    <w:p w14:paraId="6A93D1E8" w14:textId="023B2306" w:rsidR="005B283C" w:rsidRDefault="005B283C" w:rsidP="005B283C">
      <w:pPr>
        <w:pStyle w:val="ListParagraph"/>
        <w:numPr>
          <w:ilvl w:val="0"/>
          <w:numId w:val="27"/>
        </w:numPr>
        <w:rPr>
          <w:lang w:val="en-GB"/>
        </w:rPr>
      </w:pPr>
      <w:r w:rsidRPr="005B283C">
        <w:rPr>
          <w:lang w:val="en-GB"/>
        </w:rPr>
        <w:t xml:space="preserve">Affordable access </w:t>
      </w:r>
      <w:r w:rsidR="00C13265">
        <w:rPr>
          <w:lang w:val="en-GB"/>
        </w:rPr>
        <w:t xml:space="preserve">for affected populations (devices </w:t>
      </w:r>
      <w:r w:rsidRPr="005B283C">
        <w:rPr>
          <w:lang w:val="en-GB"/>
        </w:rPr>
        <w:t xml:space="preserve">+ </w:t>
      </w:r>
      <w:r w:rsidR="00C13265">
        <w:rPr>
          <w:lang w:val="en-GB"/>
        </w:rPr>
        <w:t>service/</w:t>
      </w:r>
      <w:r w:rsidRPr="005B283C">
        <w:rPr>
          <w:lang w:val="en-GB"/>
        </w:rPr>
        <w:t>technology</w:t>
      </w:r>
      <w:r w:rsidR="00C13265">
        <w:rPr>
          <w:lang w:val="en-GB"/>
        </w:rPr>
        <w:t>)</w:t>
      </w:r>
    </w:p>
    <w:p w14:paraId="5BC01BCF" w14:textId="79FB14A8" w:rsidR="00C13265" w:rsidRPr="005B283C" w:rsidRDefault="00D1595F" w:rsidP="00B62DA4">
      <w:pPr>
        <w:pStyle w:val="ListParagraph"/>
        <w:numPr>
          <w:ilvl w:val="0"/>
          <w:numId w:val="27"/>
        </w:numPr>
        <w:rPr>
          <w:lang w:val="en-GB"/>
        </w:rPr>
      </w:pPr>
      <w:r>
        <w:rPr>
          <w:lang w:val="en-GB"/>
        </w:rPr>
        <w:t>Technology advisor - p</w:t>
      </w:r>
      <w:r w:rsidR="00B62DA4" w:rsidRPr="00B62DA4">
        <w:rPr>
          <w:lang w:val="en-GB"/>
        </w:rPr>
        <w:t>roviding technical expertise, training and assistance</w:t>
      </w:r>
      <w:r>
        <w:rPr>
          <w:lang w:val="en-GB"/>
        </w:rPr>
        <w:t xml:space="preserve"> to implementing agencies</w:t>
      </w:r>
    </w:p>
    <w:p w14:paraId="11C33641" w14:textId="2FD4CB01" w:rsidR="005B283C" w:rsidRPr="00427467" w:rsidRDefault="00FF5054" w:rsidP="00427467">
      <w:pPr>
        <w:pStyle w:val="ListParagraph"/>
        <w:numPr>
          <w:ilvl w:val="0"/>
          <w:numId w:val="27"/>
        </w:numPr>
        <w:rPr>
          <w:lang w:val="en-GB"/>
        </w:rPr>
      </w:pPr>
      <w:r w:rsidRPr="00FF5054">
        <w:rPr>
          <w:lang w:val="en-GB"/>
        </w:rPr>
        <w:t>Forging partnerships</w:t>
      </w:r>
      <w:r w:rsidR="006C4D55">
        <w:rPr>
          <w:lang w:val="en-GB"/>
        </w:rPr>
        <w:t xml:space="preserve"> (with organisations keen on connectivity and communications for the masses)</w:t>
      </w:r>
    </w:p>
    <w:p w14:paraId="3541A7BF" w14:textId="2A80B4C5" w:rsidR="00C76946" w:rsidRPr="00F3120B" w:rsidRDefault="00BA101B" w:rsidP="000749D8">
      <w:pPr>
        <w:pStyle w:val="Heading2"/>
        <w:rPr>
          <w:lang w:val="en-GB"/>
        </w:rPr>
      </w:pPr>
      <w:r>
        <w:rPr>
          <w:lang w:val="en-GB"/>
        </w:rPr>
        <w:t>I</w:t>
      </w:r>
      <w:r w:rsidR="005630AD" w:rsidRPr="00F3120B">
        <w:rPr>
          <w:lang w:val="en-GB"/>
        </w:rPr>
        <w:t>ssues</w:t>
      </w:r>
    </w:p>
    <w:p w14:paraId="0EC95F02" w14:textId="27E8D0A8" w:rsidR="00F11905" w:rsidRDefault="00D136EF" w:rsidP="00D003A8">
      <w:pPr>
        <w:pStyle w:val="ListParagraph"/>
        <w:numPr>
          <w:ilvl w:val="0"/>
          <w:numId w:val="27"/>
        </w:numPr>
        <w:rPr>
          <w:lang w:val="en-GB"/>
        </w:rPr>
      </w:pPr>
      <w:r>
        <w:rPr>
          <w:lang w:val="en-GB"/>
        </w:rPr>
        <w:t>Energy</w:t>
      </w:r>
      <w:r w:rsidR="00BA101B">
        <w:rPr>
          <w:lang w:val="en-GB"/>
        </w:rPr>
        <w:t xml:space="preserve"> – should the ETC focus on provisioning energy to affected populations to charge their devices?</w:t>
      </w:r>
    </w:p>
    <w:p w14:paraId="3C5B3341" w14:textId="61E7813F" w:rsidR="00427467" w:rsidRDefault="00427467" w:rsidP="00427467">
      <w:pPr>
        <w:pStyle w:val="ListParagraph"/>
        <w:numPr>
          <w:ilvl w:val="0"/>
          <w:numId w:val="27"/>
        </w:numPr>
        <w:rPr>
          <w:lang w:val="en-GB"/>
        </w:rPr>
      </w:pPr>
      <w:r>
        <w:rPr>
          <w:lang w:val="en-GB"/>
        </w:rPr>
        <w:t>Coordinating content - should</w:t>
      </w:r>
      <w:r w:rsidRPr="00427467">
        <w:rPr>
          <w:lang w:val="en-GB"/>
        </w:rPr>
        <w:t xml:space="preserve"> the ETC wants to get into coordinating messaging/content to affected populations (work stream participants felt this should be left to humanitarian agencies, other body)</w:t>
      </w:r>
    </w:p>
    <w:sectPr w:rsidR="00427467" w:rsidSect="00A96534">
      <w:headerReference w:type="default" r:id="rId10"/>
      <w:footerReference w:type="default" r:id="rId11"/>
      <w:headerReference w:type="first" r:id="rId12"/>
      <w:foot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D53DB" w14:textId="77777777" w:rsidR="00AF6EAE" w:rsidRDefault="00AF6EAE" w:rsidP="00665B4D">
      <w:r>
        <w:separator/>
      </w:r>
    </w:p>
  </w:endnote>
  <w:endnote w:type="continuationSeparator" w:id="0">
    <w:p w14:paraId="74B5FD09" w14:textId="77777777" w:rsidR="00AF6EAE" w:rsidRDefault="00AF6EAE" w:rsidP="006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3DF7" w14:textId="77777777" w:rsidR="00CA2FE2" w:rsidRPr="00CA2FE2" w:rsidRDefault="00CA2FE2" w:rsidP="00CA2FE2">
    <w:pPr>
      <w:pStyle w:val="NoSpacing"/>
      <w:rPr>
        <w:rFonts w:ascii="Arial" w:hAnsi="Arial" w:cs="Arial"/>
      </w:rPr>
    </w:pPr>
  </w:p>
  <w:p w14:paraId="7327F9D4" w14:textId="77777777" w:rsidR="00CA2FE2" w:rsidRPr="00CA2FE2" w:rsidRDefault="00CA2FE2" w:rsidP="00CA2FE2">
    <w:pPr>
      <w:pStyle w:val="NoSpacing"/>
      <w:pBdr>
        <w:top w:val="single" w:sz="8" w:space="1" w:color="F58220"/>
      </w:pBdr>
      <w:rPr>
        <w:rFonts w:ascii="Arial" w:hAnsi="Arial" w:cs="Arial"/>
        <w:sz w:val="10"/>
        <w:szCs w:val="10"/>
      </w:rPr>
    </w:pPr>
  </w:p>
  <w:p w14:paraId="5FA836B2" w14:textId="77777777" w:rsidR="00CA2FE2" w:rsidRPr="00CA2FE2" w:rsidRDefault="00CA2FE2" w:rsidP="00CA2FE2">
    <w:pPr>
      <w:pStyle w:val="Footer"/>
      <w:tabs>
        <w:tab w:val="right" w:pos="9072"/>
      </w:tabs>
      <w:rPr>
        <w:rFonts w:ascii="Arial" w:hAnsi="Arial" w:cs="Arial"/>
        <w:sz w:val="16"/>
        <w:szCs w:val="16"/>
      </w:rPr>
    </w:pPr>
    <w:r w:rsidRPr="00CA2FE2">
      <w:rPr>
        <w:rFonts w:ascii="Arial" w:hAnsi="Arial" w:cs="Arial"/>
        <w:sz w:val="16"/>
        <w:szCs w:val="16"/>
      </w:rPr>
      <w:t xml:space="preserve">Page </w:t>
    </w:r>
    <w:r w:rsidRPr="00CA2FE2">
      <w:rPr>
        <w:rFonts w:ascii="Arial" w:hAnsi="Arial" w:cs="Arial"/>
        <w:sz w:val="16"/>
        <w:szCs w:val="16"/>
      </w:rPr>
      <w:fldChar w:fldCharType="begin"/>
    </w:r>
    <w:r w:rsidRPr="00CA2FE2">
      <w:rPr>
        <w:rFonts w:ascii="Arial" w:hAnsi="Arial" w:cs="Arial"/>
        <w:sz w:val="16"/>
        <w:szCs w:val="16"/>
      </w:rPr>
      <w:instrText xml:space="preserve"> PAGE </w:instrText>
    </w:r>
    <w:r w:rsidRPr="00CA2FE2">
      <w:rPr>
        <w:rFonts w:ascii="Arial" w:hAnsi="Arial" w:cs="Arial"/>
        <w:sz w:val="16"/>
        <w:szCs w:val="16"/>
      </w:rPr>
      <w:fldChar w:fldCharType="separate"/>
    </w:r>
    <w:r w:rsidR="009D2B36">
      <w:rPr>
        <w:rFonts w:ascii="Arial" w:hAnsi="Arial" w:cs="Arial"/>
        <w:noProof/>
        <w:sz w:val="16"/>
        <w:szCs w:val="16"/>
      </w:rPr>
      <w:t>3</w:t>
    </w:r>
    <w:r w:rsidRPr="00CA2FE2">
      <w:rPr>
        <w:rFonts w:ascii="Arial" w:hAnsi="Arial" w:cs="Arial"/>
        <w:sz w:val="16"/>
        <w:szCs w:val="16"/>
      </w:rPr>
      <w:fldChar w:fldCharType="end"/>
    </w:r>
    <w:r w:rsidRPr="00CA2FE2">
      <w:rPr>
        <w:rFonts w:ascii="Arial" w:hAnsi="Arial" w:cs="Arial"/>
        <w:sz w:val="16"/>
        <w:szCs w:val="16"/>
      </w:rPr>
      <w:t xml:space="preserve"> of </w:t>
    </w:r>
    <w:r w:rsidRPr="00CA2FE2">
      <w:rPr>
        <w:rFonts w:ascii="Arial" w:hAnsi="Arial" w:cs="Arial"/>
        <w:sz w:val="16"/>
        <w:szCs w:val="16"/>
      </w:rPr>
      <w:fldChar w:fldCharType="begin"/>
    </w:r>
    <w:r w:rsidRPr="00CA2FE2">
      <w:rPr>
        <w:rFonts w:ascii="Arial" w:hAnsi="Arial" w:cs="Arial"/>
        <w:sz w:val="16"/>
        <w:szCs w:val="16"/>
      </w:rPr>
      <w:instrText xml:space="preserve"> NUMPAGES  </w:instrText>
    </w:r>
    <w:r w:rsidRPr="00CA2FE2">
      <w:rPr>
        <w:rFonts w:ascii="Arial" w:hAnsi="Arial" w:cs="Arial"/>
        <w:sz w:val="16"/>
        <w:szCs w:val="16"/>
      </w:rPr>
      <w:fldChar w:fldCharType="separate"/>
    </w:r>
    <w:r w:rsidR="009D2B36">
      <w:rPr>
        <w:rFonts w:ascii="Arial" w:hAnsi="Arial" w:cs="Arial"/>
        <w:noProof/>
        <w:sz w:val="16"/>
        <w:szCs w:val="16"/>
      </w:rPr>
      <w:t>3</w:t>
    </w:r>
    <w:r w:rsidRPr="00CA2FE2">
      <w:rPr>
        <w:rFonts w:ascii="Arial" w:hAnsi="Arial" w:cs="Arial"/>
        <w:sz w:val="16"/>
        <w:szCs w:val="16"/>
      </w:rPr>
      <w:fldChar w:fldCharType="end"/>
    </w:r>
  </w:p>
  <w:p w14:paraId="53472E18" w14:textId="77777777" w:rsidR="00CA2FE2" w:rsidRPr="00CA2FE2" w:rsidRDefault="00CA2FE2" w:rsidP="00CA2FE2">
    <w:pPr>
      <w:pStyle w:val="Footer"/>
      <w:tabs>
        <w:tab w:val="right" w:pos="9072"/>
      </w:tabs>
      <w:rPr>
        <w:rFonts w:ascii="Arial" w:hAnsi="Arial" w:cs="Arial"/>
        <w:sz w:val="16"/>
        <w:szCs w:val="16"/>
      </w:rPr>
    </w:pPr>
  </w:p>
  <w:p w14:paraId="2FCE43EF" w14:textId="77777777" w:rsidR="00CA2FE2" w:rsidRPr="00CA2FE2" w:rsidRDefault="00CA2FE2" w:rsidP="00203027">
    <w:pPr>
      <w:pStyle w:val="Footer"/>
      <w:tabs>
        <w:tab w:val="right" w:pos="8931"/>
      </w:tabs>
      <w:jc w:val="center"/>
      <w:rPr>
        <w:rFonts w:ascii="Arial" w:hAnsi="Arial" w:cs="Arial"/>
        <w:b/>
        <w:bCs/>
        <w:color w:val="939598"/>
        <w:sz w:val="16"/>
        <w:szCs w:val="16"/>
      </w:rPr>
    </w:pPr>
    <w:r w:rsidRPr="00CA2FE2">
      <w:rPr>
        <w:rFonts w:ascii="Arial" w:hAnsi="Arial" w:cs="Arial"/>
        <w:b/>
        <w:bCs/>
        <w:color w:val="939598"/>
        <w:sz w:val="16"/>
        <w:szCs w:val="16"/>
      </w:rPr>
      <w:t>Emergency Telecommunications Cluster (ETC)</w:t>
    </w:r>
  </w:p>
  <w:p w14:paraId="3A38D0AF" w14:textId="17C96F98" w:rsidR="006F6CE6" w:rsidRPr="00CA2FE2" w:rsidRDefault="00CA2FE2" w:rsidP="00CA2FE2">
    <w:pPr>
      <w:pStyle w:val="Footer"/>
      <w:tabs>
        <w:tab w:val="right" w:pos="8931"/>
      </w:tabs>
      <w:jc w:val="center"/>
      <w:rPr>
        <w:rFonts w:ascii="Arial" w:hAnsi="Arial" w:cs="Arial"/>
        <w:b/>
        <w:bCs/>
        <w:color w:val="0054A6"/>
        <w:sz w:val="16"/>
        <w:szCs w:val="16"/>
      </w:rPr>
    </w:pPr>
    <w:r w:rsidRPr="00CA2FE2">
      <w:rPr>
        <w:rFonts w:ascii="Arial" w:hAnsi="Arial" w:cs="Arial"/>
        <w:b/>
        <w:bCs/>
        <w:color w:val="0054A6"/>
        <w:sz w:val="16"/>
        <w:szCs w:val="16"/>
      </w:rPr>
      <w:t>www.ETCluster.org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CCE5" w14:textId="77777777" w:rsidR="00F750E3" w:rsidRPr="00F750E3" w:rsidRDefault="00F750E3" w:rsidP="001C75ED">
    <w:pPr>
      <w:pStyle w:val="NoSpacing"/>
      <w:rPr>
        <w:rFonts w:ascii="Arial" w:hAnsi="Arial" w:cs="Arial"/>
      </w:rPr>
    </w:pPr>
  </w:p>
  <w:p w14:paraId="29695BF0" w14:textId="77777777" w:rsidR="00F750E3" w:rsidRPr="00F750E3" w:rsidRDefault="00F750E3" w:rsidP="001C75ED">
    <w:pPr>
      <w:pStyle w:val="NoSpacing"/>
      <w:pBdr>
        <w:top w:val="single" w:sz="8" w:space="1" w:color="F58220"/>
      </w:pBdr>
      <w:rPr>
        <w:rFonts w:ascii="Arial" w:hAnsi="Arial" w:cs="Arial"/>
        <w:sz w:val="10"/>
        <w:szCs w:val="10"/>
      </w:rPr>
    </w:pPr>
  </w:p>
  <w:p w14:paraId="49F8CB7F" w14:textId="77777777" w:rsidR="00F750E3" w:rsidRPr="00F750E3" w:rsidRDefault="00F750E3" w:rsidP="001C75ED">
    <w:pPr>
      <w:pStyle w:val="Footer"/>
      <w:tabs>
        <w:tab w:val="right" w:pos="9072"/>
      </w:tabs>
      <w:rPr>
        <w:rFonts w:ascii="Arial" w:hAnsi="Arial" w:cs="Arial"/>
        <w:sz w:val="16"/>
        <w:szCs w:val="16"/>
      </w:rPr>
    </w:pPr>
    <w:r w:rsidRPr="00F750E3">
      <w:rPr>
        <w:rFonts w:ascii="Arial" w:hAnsi="Arial" w:cs="Arial"/>
        <w:sz w:val="16"/>
        <w:szCs w:val="16"/>
      </w:rPr>
      <w:t xml:space="preserve">Page </w:t>
    </w:r>
    <w:r w:rsidRPr="00F750E3">
      <w:rPr>
        <w:rFonts w:ascii="Arial" w:hAnsi="Arial" w:cs="Arial"/>
        <w:sz w:val="16"/>
        <w:szCs w:val="16"/>
      </w:rPr>
      <w:fldChar w:fldCharType="begin"/>
    </w:r>
    <w:r w:rsidRPr="00F750E3">
      <w:rPr>
        <w:rFonts w:ascii="Arial" w:hAnsi="Arial" w:cs="Arial"/>
        <w:sz w:val="16"/>
        <w:szCs w:val="16"/>
      </w:rPr>
      <w:instrText xml:space="preserve"> PAGE </w:instrText>
    </w:r>
    <w:r w:rsidRPr="00F750E3">
      <w:rPr>
        <w:rFonts w:ascii="Arial" w:hAnsi="Arial" w:cs="Arial"/>
        <w:sz w:val="16"/>
        <w:szCs w:val="16"/>
      </w:rPr>
      <w:fldChar w:fldCharType="separate"/>
    </w:r>
    <w:r w:rsidR="009D2B36">
      <w:rPr>
        <w:rFonts w:ascii="Arial" w:hAnsi="Arial" w:cs="Arial"/>
        <w:noProof/>
        <w:sz w:val="16"/>
        <w:szCs w:val="16"/>
      </w:rPr>
      <w:t>1</w:t>
    </w:r>
    <w:r w:rsidRPr="00F750E3">
      <w:rPr>
        <w:rFonts w:ascii="Arial" w:hAnsi="Arial" w:cs="Arial"/>
        <w:sz w:val="16"/>
        <w:szCs w:val="16"/>
      </w:rPr>
      <w:fldChar w:fldCharType="end"/>
    </w:r>
    <w:r w:rsidRPr="00F750E3">
      <w:rPr>
        <w:rFonts w:ascii="Arial" w:hAnsi="Arial" w:cs="Arial"/>
        <w:sz w:val="16"/>
        <w:szCs w:val="16"/>
      </w:rPr>
      <w:t xml:space="preserve"> of </w:t>
    </w:r>
    <w:r w:rsidRPr="00F750E3">
      <w:rPr>
        <w:rFonts w:ascii="Arial" w:hAnsi="Arial" w:cs="Arial"/>
        <w:sz w:val="16"/>
        <w:szCs w:val="16"/>
      </w:rPr>
      <w:fldChar w:fldCharType="begin"/>
    </w:r>
    <w:r w:rsidRPr="00F750E3">
      <w:rPr>
        <w:rFonts w:ascii="Arial" w:hAnsi="Arial" w:cs="Arial"/>
        <w:sz w:val="16"/>
        <w:szCs w:val="16"/>
      </w:rPr>
      <w:instrText xml:space="preserve"> NUMPAGES  </w:instrText>
    </w:r>
    <w:r w:rsidRPr="00F750E3">
      <w:rPr>
        <w:rFonts w:ascii="Arial" w:hAnsi="Arial" w:cs="Arial"/>
        <w:sz w:val="16"/>
        <w:szCs w:val="16"/>
      </w:rPr>
      <w:fldChar w:fldCharType="separate"/>
    </w:r>
    <w:r w:rsidR="009D2B36">
      <w:rPr>
        <w:rFonts w:ascii="Arial" w:hAnsi="Arial" w:cs="Arial"/>
        <w:noProof/>
        <w:sz w:val="16"/>
        <w:szCs w:val="16"/>
      </w:rPr>
      <w:t>3</w:t>
    </w:r>
    <w:r w:rsidRPr="00F750E3">
      <w:rPr>
        <w:rFonts w:ascii="Arial" w:hAnsi="Arial" w:cs="Arial"/>
        <w:sz w:val="16"/>
        <w:szCs w:val="16"/>
      </w:rPr>
      <w:fldChar w:fldCharType="end"/>
    </w:r>
  </w:p>
  <w:p w14:paraId="68A3A1A6" w14:textId="77777777" w:rsidR="00F750E3" w:rsidRPr="00F750E3" w:rsidRDefault="00F750E3" w:rsidP="001C75ED">
    <w:pPr>
      <w:pStyle w:val="Footer"/>
      <w:tabs>
        <w:tab w:val="right" w:pos="9072"/>
      </w:tabs>
      <w:rPr>
        <w:rFonts w:ascii="Arial" w:hAnsi="Arial" w:cs="Arial"/>
        <w:sz w:val="16"/>
        <w:szCs w:val="16"/>
      </w:rPr>
    </w:pPr>
  </w:p>
  <w:p w14:paraId="3A38D0B8" w14:textId="00908F07" w:rsidR="0052700D" w:rsidRPr="00F750E3" w:rsidRDefault="00F750E3" w:rsidP="00F750E3">
    <w:pPr>
      <w:pStyle w:val="Footer"/>
      <w:tabs>
        <w:tab w:val="right" w:pos="8931"/>
      </w:tabs>
      <w:jc w:val="center"/>
      <w:rPr>
        <w:rFonts w:ascii="Arial" w:hAnsi="Arial" w:cs="Arial"/>
        <w:b/>
        <w:bCs/>
        <w:i/>
        <w:iCs/>
        <w:color w:val="939598"/>
        <w:sz w:val="16"/>
        <w:szCs w:val="16"/>
      </w:rPr>
    </w:pPr>
    <w:r w:rsidRPr="00F750E3">
      <w:rPr>
        <w:rFonts w:ascii="Arial" w:hAnsi="Arial" w:cs="Arial"/>
        <w:b/>
        <w:bCs/>
        <w:i/>
        <w:iCs/>
        <w:color w:val="939598"/>
        <w:sz w:val="16"/>
        <w:szCs w:val="16"/>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21FAE" w14:textId="77777777" w:rsidR="00AF6EAE" w:rsidRDefault="00AF6EAE" w:rsidP="00665B4D">
      <w:r>
        <w:separator/>
      </w:r>
    </w:p>
  </w:footnote>
  <w:footnote w:type="continuationSeparator" w:id="0">
    <w:p w14:paraId="30EE3465" w14:textId="77777777" w:rsidR="00AF6EAE" w:rsidRDefault="00AF6EAE" w:rsidP="0066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138F" w14:textId="77777777" w:rsidR="00F750E3" w:rsidRPr="00E16289" w:rsidRDefault="00F750E3" w:rsidP="00647CC9">
    <w:pPr>
      <w:pStyle w:val="Header"/>
      <w:pBdr>
        <w:bottom w:val="single" w:sz="8" w:space="1" w:color="F58220"/>
      </w:pBdr>
    </w:pPr>
    <w:r>
      <w:rPr>
        <w:noProof/>
      </w:rPr>
      <w:drawing>
        <wp:inline distT="0" distB="0" distL="0" distR="0" wp14:anchorId="2654EA36" wp14:editId="22A9DE07">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p w14:paraId="3A38D0A9" w14:textId="02870777" w:rsidR="00A96534" w:rsidRDefault="00A96534" w:rsidP="0066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96534" w14:paraId="3A38D0B1" w14:textId="77777777" w:rsidTr="00455543">
      <w:tc>
        <w:tcPr>
          <w:tcW w:w="9576" w:type="dxa"/>
        </w:tcPr>
        <w:p w14:paraId="3A38D0B0" w14:textId="77777777" w:rsidR="00A96534" w:rsidRDefault="00A96534" w:rsidP="001339A1">
          <w:pPr>
            <w:pStyle w:val="Header"/>
            <w:jc w:val="center"/>
          </w:pPr>
          <w:r>
            <w:rPr>
              <w:noProof/>
            </w:rPr>
            <w:drawing>
              <wp:inline distT="0" distB="0" distL="0" distR="0" wp14:anchorId="3A38D0BB" wp14:editId="3A38D0BC">
                <wp:extent cx="3520440" cy="1200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r>
  </w:tbl>
  <w:p w14:paraId="3A38D0B2" w14:textId="77777777" w:rsidR="00A96534" w:rsidRDefault="00A96534" w:rsidP="0066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F6"/>
    <w:multiLevelType w:val="hybridMultilevel"/>
    <w:tmpl w:val="5CC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4110"/>
    <w:multiLevelType w:val="hybridMultilevel"/>
    <w:tmpl w:val="7914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04CC9"/>
    <w:multiLevelType w:val="hybridMultilevel"/>
    <w:tmpl w:val="E746F1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43570"/>
    <w:multiLevelType w:val="hybridMultilevel"/>
    <w:tmpl w:val="84E2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65E93"/>
    <w:multiLevelType w:val="hybridMultilevel"/>
    <w:tmpl w:val="DE9A3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32ED1"/>
    <w:multiLevelType w:val="hybridMultilevel"/>
    <w:tmpl w:val="A4C0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45844"/>
    <w:multiLevelType w:val="hybridMultilevel"/>
    <w:tmpl w:val="012C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D7AE5"/>
    <w:multiLevelType w:val="hybridMultilevel"/>
    <w:tmpl w:val="D9A2A43E"/>
    <w:lvl w:ilvl="0" w:tplc="C4A8EE40">
      <w:start w:val="1"/>
      <w:numFmt w:val="bullet"/>
      <w:lvlText w:val=""/>
      <w:lvlJc w:val="left"/>
      <w:pPr>
        <w:ind w:left="720" w:hanging="360"/>
      </w:pPr>
      <w:rPr>
        <w:rFonts w:ascii="Symbol" w:hAnsi="Symbol" w:hint="default"/>
        <w:color w:val="FF6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3928"/>
    <w:multiLevelType w:val="hybridMultilevel"/>
    <w:tmpl w:val="F9281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33F9B"/>
    <w:multiLevelType w:val="hybridMultilevel"/>
    <w:tmpl w:val="E3A4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D2E7B"/>
    <w:multiLevelType w:val="hybridMultilevel"/>
    <w:tmpl w:val="A740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F28FE"/>
    <w:multiLevelType w:val="hybridMultilevel"/>
    <w:tmpl w:val="C93E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ED4D2D"/>
    <w:multiLevelType w:val="hybridMultilevel"/>
    <w:tmpl w:val="5E6E0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A81D34"/>
    <w:multiLevelType w:val="multilevel"/>
    <w:tmpl w:val="304E6D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4B7F19F8"/>
    <w:multiLevelType w:val="hybridMultilevel"/>
    <w:tmpl w:val="CD8AA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AB4C65"/>
    <w:multiLevelType w:val="hybridMultilevel"/>
    <w:tmpl w:val="2938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B39AA"/>
    <w:multiLevelType w:val="hybridMultilevel"/>
    <w:tmpl w:val="CF4E9D52"/>
    <w:lvl w:ilvl="0" w:tplc="2286C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C95A4B"/>
    <w:multiLevelType w:val="hybridMultilevel"/>
    <w:tmpl w:val="82BE2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7F399F"/>
    <w:multiLevelType w:val="hybridMultilevel"/>
    <w:tmpl w:val="B394C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333BF9"/>
    <w:multiLevelType w:val="hybridMultilevel"/>
    <w:tmpl w:val="BB7AAF3E"/>
    <w:lvl w:ilvl="0" w:tplc="C4A8EE40">
      <w:start w:val="1"/>
      <w:numFmt w:val="bullet"/>
      <w:lvlText w:val=""/>
      <w:lvlJc w:val="left"/>
      <w:pPr>
        <w:ind w:left="720" w:hanging="360"/>
      </w:pPr>
      <w:rPr>
        <w:rFonts w:ascii="Symbol" w:hAnsi="Symbol" w:hint="default"/>
        <w:color w:val="FF6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01887"/>
    <w:multiLevelType w:val="hybridMultilevel"/>
    <w:tmpl w:val="2B163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410AF"/>
    <w:multiLevelType w:val="hybridMultilevel"/>
    <w:tmpl w:val="2D3805F6"/>
    <w:lvl w:ilvl="0" w:tplc="C4A8EE40">
      <w:start w:val="1"/>
      <w:numFmt w:val="bullet"/>
      <w:lvlText w:val=""/>
      <w:lvlJc w:val="left"/>
      <w:pPr>
        <w:ind w:left="720" w:hanging="360"/>
      </w:pPr>
      <w:rPr>
        <w:rFonts w:ascii="Symbol" w:hAnsi="Symbol" w:hint="default"/>
        <w:color w:val="FF6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E4F89"/>
    <w:multiLevelType w:val="hybridMultilevel"/>
    <w:tmpl w:val="06229866"/>
    <w:lvl w:ilvl="0" w:tplc="77DA6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94D13"/>
    <w:multiLevelType w:val="hybridMultilevel"/>
    <w:tmpl w:val="13C6F6E4"/>
    <w:lvl w:ilvl="0" w:tplc="17F0A670">
      <w:start w:val="1"/>
      <w:numFmt w:val="bullet"/>
      <w:lvlText w:val=""/>
      <w:lvlJc w:val="left"/>
      <w:pPr>
        <w:ind w:left="720" w:hanging="360"/>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6462B"/>
    <w:multiLevelType w:val="hybridMultilevel"/>
    <w:tmpl w:val="43440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C61887"/>
    <w:multiLevelType w:val="hybridMultilevel"/>
    <w:tmpl w:val="3C527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955CE"/>
    <w:multiLevelType w:val="hybridMultilevel"/>
    <w:tmpl w:val="0F881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922767"/>
    <w:multiLevelType w:val="hybridMultilevel"/>
    <w:tmpl w:val="CC78A83C"/>
    <w:lvl w:ilvl="0" w:tplc="C4A8EE40">
      <w:start w:val="1"/>
      <w:numFmt w:val="bullet"/>
      <w:lvlText w:val=""/>
      <w:lvlJc w:val="left"/>
      <w:pPr>
        <w:ind w:left="720" w:hanging="360"/>
      </w:pPr>
      <w:rPr>
        <w:rFonts w:ascii="Symbol" w:hAnsi="Symbol" w:hint="default"/>
        <w:color w:val="FF6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D4086"/>
    <w:multiLevelType w:val="hybridMultilevel"/>
    <w:tmpl w:val="4E66279C"/>
    <w:lvl w:ilvl="0" w:tplc="DE8E95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8"/>
  </w:num>
  <w:num w:numId="4">
    <w:abstractNumId w:val="4"/>
  </w:num>
  <w:num w:numId="5">
    <w:abstractNumId w:val="14"/>
  </w:num>
  <w:num w:numId="6">
    <w:abstractNumId w:val="25"/>
  </w:num>
  <w:num w:numId="7">
    <w:abstractNumId w:val="15"/>
  </w:num>
  <w:num w:numId="8">
    <w:abstractNumId w:val="24"/>
  </w:num>
  <w:num w:numId="9">
    <w:abstractNumId w:val="10"/>
  </w:num>
  <w:num w:numId="10">
    <w:abstractNumId w:val="8"/>
  </w:num>
  <w:num w:numId="11">
    <w:abstractNumId w:val="9"/>
  </w:num>
  <w:num w:numId="12">
    <w:abstractNumId w:val="18"/>
  </w:num>
  <w:num w:numId="13">
    <w:abstractNumId w:val="11"/>
  </w:num>
  <w:num w:numId="14">
    <w:abstractNumId w:val="2"/>
  </w:num>
  <w:num w:numId="15">
    <w:abstractNumId w:val="17"/>
  </w:num>
  <w:num w:numId="16">
    <w:abstractNumId w:val="13"/>
  </w:num>
  <w:num w:numId="17">
    <w:abstractNumId w:val="26"/>
  </w:num>
  <w:num w:numId="18">
    <w:abstractNumId w:val="12"/>
  </w:num>
  <w:num w:numId="19">
    <w:abstractNumId w:val="22"/>
  </w:num>
  <w:num w:numId="20">
    <w:abstractNumId w:val="5"/>
  </w:num>
  <w:num w:numId="21">
    <w:abstractNumId w:val="1"/>
  </w:num>
  <w:num w:numId="22">
    <w:abstractNumId w:val="3"/>
  </w:num>
  <w:num w:numId="23">
    <w:abstractNumId w:val="23"/>
  </w:num>
  <w:num w:numId="24">
    <w:abstractNumId w:val="19"/>
  </w:num>
  <w:num w:numId="25">
    <w:abstractNumId w:val="21"/>
  </w:num>
  <w:num w:numId="26">
    <w:abstractNumId w:val="27"/>
  </w:num>
  <w:num w:numId="27">
    <w:abstractNumId w:val="7"/>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D"/>
    <w:rsid w:val="0000663C"/>
    <w:rsid w:val="000108E6"/>
    <w:rsid w:val="00013509"/>
    <w:rsid w:val="00014FC1"/>
    <w:rsid w:val="00015B48"/>
    <w:rsid w:val="000302A0"/>
    <w:rsid w:val="00034CEF"/>
    <w:rsid w:val="000367EA"/>
    <w:rsid w:val="00036BEB"/>
    <w:rsid w:val="00040012"/>
    <w:rsid w:val="00045360"/>
    <w:rsid w:val="00045A02"/>
    <w:rsid w:val="00050E5A"/>
    <w:rsid w:val="000552B9"/>
    <w:rsid w:val="000552E5"/>
    <w:rsid w:val="0005554F"/>
    <w:rsid w:val="00055CB9"/>
    <w:rsid w:val="00061782"/>
    <w:rsid w:val="0006376D"/>
    <w:rsid w:val="000652E7"/>
    <w:rsid w:val="00066AB9"/>
    <w:rsid w:val="000710AD"/>
    <w:rsid w:val="000749D8"/>
    <w:rsid w:val="00081642"/>
    <w:rsid w:val="00081845"/>
    <w:rsid w:val="00082126"/>
    <w:rsid w:val="00084428"/>
    <w:rsid w:val="0008704C"/>
    <w:rsid w:val="00090C19"/>
    <w:rsid w:val="00095DE6"/>
    <w:rsid w:val="00097FF0"/>
    <w:rsid w:val="000A3029"/>
    <w:rsid w:val="000A3693"/>
    <w:rsid w:val="000B0630"/>
    <w:rsid w:val="000B36C0"/>
    <w:rsid w:val="000B7B3F"/>
    <w:rsid w:val="000C5EBE"/>
    <w:rsid w:val="000D029B"/>
    <w:rsid w:val="000D6454"/>
    <w:rsid w:val="000E1767"/>
    <w:rsid w:val="000E223B"/>
    <w:rsid w:val="000F2B3C"/>
    <w:rsid w:val="000F5B39"/>
    <w:rsid w:val="000F65E6"/>
    <w:rsid w:val="000F7206"/>
    <w:rsid w:val="00103CC0"/>
    <w:rsid w:val="00104339"/>
    <w:rsid w:val="0010599A"/>
    <w:rsid w:val="001105AF"/>
    <w:rsid w:val="0011111A"/>
    <w:rsid w:val="001111DD"/>
    <w:rsid w:val="00111D02"/>
    <w:rsid w:val="0011224D"/>
    <w:rsid w:val="00113E65"/>
    <w:rsid w:val="00114BDE"/>
    <w:rsid w:val="00115E70"/>
    <w:rsid w:val="001207D9"/>
    <w:rsid w:val="00124321"/>
    <w:rsid w:val="001255BD"/>
    <w:rsid w:val="00126236"/>
    <w:rsid w:val="00126D40"/>
    <w:rsid w:val="001339A1"/>
    <w:rsid w:val="00135B59"/>
    <w:rsid w:val="00135EE2"/>
    <w:rsid w:val="00140DBE"/>
    <w:rsid w:val="00141351"/>
    <w:rsid w:val="00142BCF"/>
    <w:rsid w:val="00144E62"/>
    <w:rsid w:val="001453E3"/>
    <w:rsid w:val="00151B3C"/>
    <w:rsid w:val="00152128"/>
    <w:rsid w:val="00153729"/>
    <w:rsid w:val="00153EF7"/>
    <w:rsid w:val="00154995"/>
    <w:rsid w:val="00156510"/>
    <w:rsid w:val="00162433"/>
    <w:rsid w:val="001654CD"/>
    <w:rsid w:val="0017149C"/>
    <w:rsid w:val="00173199"/>
    <w:rsid w:val="00173E24"/>
    <w:rsid w:val="00175548"/>
    <w:rsid w:val="001759B1"/>
    <w:rsid w:val="0017600B"/>
    <w:rsid w:val="00176E12"/>
    <w:rsid w:val="00180375"/>
    <w:rsid w:val="001821E3"/>
    <w:rsid w:val="00182627"/>
    <w:rsid w:val="00185620"/>
    <w:rsid w:val="001871CA"/>
    <w:rsid w:val="00193166"/>
    <w:rsid w:val="00197399"/>
    <w:rsid w:val="001A03BB"/>
    <w:rsid w:val="001A0922"/>
    <w:rsid w:val="001A0D11"/>
    <w:rsid w:val="001A2811"/>
    <w:rsid w:val="001A3B95"/>
    <w:rsid w:val="001A3D5D"/>
    <w:rsid w:val="001A7DA6"/>
    <w:rsid w:val="001B0CAC"/>
    <w:rsid w:val="001B4ABD"/>
    <w:rsid w:val="001C0F30"/>
    <w:rsid w:val="001C53D0"/>
    <w:rsid w:val="001D086E"/>
    <w:rsid w:val="001D20C2"/>
    <w:rsid w:val="001D7C57"/>
    <w:rsid w:val="001E0BFE"/>
    <w:rsid w:val="001E13EA"/>
    <w:rsid w:val="001E22DE"/>
    <w:rsid w:val="001F36EB"/>
    <w:rsid w:val="001F4D2C"/>
    <w:rsid w:val="001F68B7"/>
    <w:rsid w:val="00203E81"/>
    <w:rsid w:val="00205881"/>
    <w:rsid w:val="00210890"/>
    <w:rsid w:val="00223BC5"/>
    <w:rsid w:val="0023376D"/>
    <w:rsid w:val="0024212D"/>
    <w:rsid w:val="0025078E"/>
    <w:rsid w:val="00252071"/>
    <w:rsid w:val="002600D9"/>
    <w:rsid w:val="00261501"/>
    <w:rsid w:val="00262433"/>
    <w:rsid w:val="00265BE4"/>
    <w:rsid w:val="002721D4"/>
    <w:rsid w:val="00272B96"/>
    <w:rsid w:val="00276025"/>
    <w:rsid w:val="00276482"/>
    <w:rsid w:val="002767C1"/>
    <w:rsid w:val="00277D9A"/>
    <w:rsid w:val="00281F59"/>
    <w:rsid w:val="00286DD2"/>
    <w:rsid w:val="00286E3B"/>
    <w:rsid w:val="00294CCA"/>
    <w:rsid w:val="00295A41"/>
    <w:rsid w:val="002A25B0"/>
    <w:rsid w:val="002A50EE"/>
    <w:rsid w:val="002B1F6D"/>
    <w:rsid w:val="002B4263"/>
    <w:rsid w:val="002B5AD3"/>
    <w:rsid w:val="002B642E"/>
    <w:rsid w:val="002C2669"/>
    <w:rsid w:val="002C3FFB"/>
    <w:rsid w:val="002C5897"/>
    <w:rsid w:val="002E4D9C"/>
    <w:rsid w:val="002E710F"/>
    <w:rsid w:val="002E79FD"/>
    <w:rsid w:val="002F16A2"/>
    <w:rsid w:val="002F3690"/>
    <w:rsid w:val="002F6A3E"/>
    <w:rsid w:val="00301D51"/>
    <w:rsid w:val="0030230D"/>
    <w:rsid w:val="00305BDB"/>
    <w:rsid w:val="00311414"/>
    <w:rsid w:val="0031436F"/>
    <w:rsid w:val="0031547A"/>
    <w:rsid w:val="00316D72"/>
    <w:rsid w:val="00326CE1"/>
    <w:rsid w:val="00332725"/>
    <w:rsid w:val="003329AF"/>
    <w:rsid w:val="00334DE3"/>
    <w:rsid w:val="00337AAD"/>
    <w:rsid w:val="00344A70"/>
    <w:rsid w:val="00346C77"/>
    <w:rsid w:val="003517B0"/>
    <w:rsid w:val="00353C31"/>
    <w:rsid w:val="00355CDF"/>
    <w:rsid w:val="00356B9A"/>
    <w:rsid w:val="00357C50"/>
    <w:rsid w:val="003600E1"/>
    <w:rsid w:val="00363CB0"/>
    <w:rsid w:val="00365BF2"/>
    <w:rsid w:val="00370737"/>
    <w:rsid w:val="003710A6"/>
    <w:rsid w:val="0037289B"/>
    <w:rsid w:val="0037524A"/>
    <w:rsid w:val="00377365"/>
    <w:rsid w:val="00381AE3"/>
    <w:rsid w:val="00382E9A"/>
    <w:rsid w:val="00382EB8"/>
    <w:rsid w:val="00383A39"/>
    <w:rsid w:val="00385DEE"/>
    <w:rsid w:val="00387B4D"/>
    <w:rsid w:val="003A258A"/>
    <w:rsid w:val="003A30D2"/>
    <w:rsid w:val="003A6AF3"/>
    <w:rsid w:val="003B2527"/>
    <w:rsid w:val="003B4DE5"/>
    <w:rsid w:val="003B6C56"/>
    <w:rsid w:val="003C2919"/>
    <w:rsid w:val="003C38DA"/>
    <w:rsid w:val="003D2337"/>
    <w:rsid w:val="003D23B0"/>
    <w:rsid w:val="003D2C85"/>
    <w:rsid w:val="003D5362"/>
    <w:rsid w:val="003D5B4C"/>
    <w:rsid w:val="003D6FD3"/>
    <w:rsid w:val="003E72A7"/>
    <w:rsid w:val="003F24F2"/>
    <w:rsid w:val="003F29F8"/>
    <w:rsid w:val="00401374"/>
    <w:rsid w:val="00404543"/>
    <w:rsid w:val="0040721B"/>
    <w:rsid w:val="004072AF"/>
    <w:rsid w:val="004111BB"/>
    <w:rsid w:val="0041724B"/>
    <w:rsid w:val="00417DD8"/>
    <w:rsid w:val="00417DDE"/>
    <w:rsid w:val="004243C8"/>
    <w:rsid w:val="0042658A"/>
    <w:rsid w:val="00427467"/>
    <w:rsid w:val="00427AB2"/>
    <w:rsid w:val="00430E3D"/>
    <w:rsid w:val="0043141F"/>
    <w:rsid w:val="00432233"/>
    <w:rsid w:val="00434F4A"/>
    <w:rsid w:val="00441097"/>
    <w:rsid w:val="00441C17"/>
    <w:rsid w:val="00454A42"/>
    <w:rsid w:val="00455F26"/>
    <w:rsid w:val="0045640D"/>
    <w:rsid w:val="004568E6"/>
    <w:rsid w:val="00456901"/>
    <w:rsid w:val="0045733C"/>
    <w:rsid w:val="00464F5E"/>
    <w:rsid w:val="00465157"/>
    <w:rsid w:val="004724AA"/>
    <w:rsid w:val="00472D50"/>
    <w:rsid w:val="00473687"/>
    <w:rsid w:val="00480139"/>
    <w:rsid w:val="00481A56"/>
    <w:rsid w:val="004830D4"/>
    <w:rsid w:val="0049288A"/>
    <w:rsid w:val="00492FA7"/>
    <w:rsid w:val="00495E69"/>
    <w:rsid w:val="0049637C"/>
    <w:rsid w:val="004970EA"/>
    <w:rsid w:val="004979C3"/>
    <w:rsid w:val="004A190F"/>
    <w:rsid w:val="004A2D99"/>
    <w:rsid w:val="004A3E01"/>
    <w:rsid w:val="004A5470"/>
    <w:rsid w:val="004A6CCE"/>
    <w:rsid w:val="004B08BA"/>
    <w:rsid w:val="004B1760"/>
    <w:rsid w:val="004B5483"/>
    <w:rsid w:val="004C5FD9"/>
    <w:rsid w:val="004C69A1"/>
    <w:rsid w:val="004C6D1D"/>
    <w:rsid w:val="004D02C8"/>
    <w:rsid w:val="004D0929"/>
    <w:rsid w:val="004D31C0"/>
    <w:rsid w:val="004E03F4"/>
    <w:rsid w:val="004E1149"/>
    <w:rsid w:val="004E464B"/>
    <w:rsid w:val="004E47AE"/>
    <w:rsid w:val="004F07C1"/>
    <w:rsid w:val="004F0CF5"/>
    <w:rsid w:val="004F2A74"/>
    <w:rsid w:val="004F3630"/>
    <w:rsid w:val="004F4283"/>
    <w:rsid w:val="00500E51"/>
    <w:rsid w:val="00503A36"/>
    <w:rsid w:val="00505E13"/>
    <w:rsid w:val="00505E68"/>
    <w:rsid w:val="00510291"/>
    <w:rsid w:val="00514752"/>
    <w:rsid w:val="00514E7C"/>
    <w:rsid w:val="00517877"/>
    <w:rsid w:val="0052207A"/>
    <w:rsid w:val="00525100"/>
    <w:rsid w:val="00525259"/>
    <w:rsid w:val="0052530C"/>
    <w:rsid w:val="00525D1E"/>
    <w:rsid w:val="0052700D"/>
    <w:rsid w:val="00527240"/>
    <w:rsid w:val="0052782E"/>
    <w:rsid w:val="00527B58"/>
    <w:rsid w:val="00540B62"/>
    <w:rsid w:val="005414E2"/>
    <w:rsid w:val="00542344"/>
    <w:rsid w:val="00543675"/>
    <w:rsid w:val="00546895"/>
    <w:rsid w:val="00550C75"/>
    <w:rsid w:val="00550DC9"/>
    <w:rsid w:val="0055786E"/>
    <w:rsid w:val="005630AD"/>
    <w:rsid w:val="00567E0D"/>
    <w:rsid w:val="00572F7B"/>
    <w:rsid w:val="00573FDC"/>
    <w:rsid w:val="005743AD"/>
    <w:rsid w:val="00587FF4"/>
    <w:rsid w:val="00590802"/>
    <w:rsid w:val="00592DB7"/>
    <w:rsid w:val="00592F6D"/>
    <w:rsid w:val="0059376E"/>
    <w:rsid w:val="00594682"/>
    <w:rsid w:val="005A0F19"/>
    <w:rsid w:val="005A2670"/>
    <w:rsid w:val="005A4183"/>
    <w:rsid w:val="005A7CF3"/>
    <w:rsid w:val="005B283C"/>
    <w:rsid w:val="005B395F"/>
    <w:rsid w:val="005B55C0"/>
    <w:rsid w:val="005C14CA"/>
    <w:rsid w:val="005C2F84"/>
    <w:rsid w:val="005C4A98"/>
    <w:rsid w:val="005C5A1C"/>
    <w:rsid w:val="005C5C97"/>
    <w:rsid w:val="005C665A"/>
    <w:rsid w:val="005C6CFC"/>
    <w:rsid w:val="005E0C76"/>
    <w:rsid w:val="005E13CC"/>
    <w:rsid w:val="005E1675"/>
    <w:rsid w:val="005E59F0"/>
    <w:rsid w:val="005E784D"/>
    <w:rsid w:val="005E7E32"/>
    <w:rsid w:val="005F0437"/>
    <w:rsid w:val="005F3310"/>
    <w:rsid w:val="0060171B"/>
    <w:rsid w:val="00602AF8"/>
    <w:rsid w:val="00604054"/>
    <w:rsid w:val="00604335"/>
    <w:rsid w:val="006065C5"/>
    <w:rsid w:val="006114A8"/>
    <w:rsid w:val="00612FAE"/>
    <w:rsid w:val="00615406"/>
    <w:rsid w:val="00616F06"/>
    <w:rsid w:val="00617CF4"/>
    <w:rsid w:val="0062006F"/>
    <w:rsid w:val="0062065D"/>
    <w:rsid w:val="006222C2"/>
    <w:rsid w:val="00624777"/>
    <w:rsid w:val="00625C70"/>
    <w:rsid w:val="00630AF2"/>
    <w:rsid w:val="006325C8"/>
    <w:rsid w:val="006341E3"/>
    <w:rsid w:val="00637022"/>
    <w:rsid w:val="006531F6"/>
    <w:rsid w:val="0065771D"/>
    <w:rsid w:val="00660D2C"/>
    <w:rsid w:val="006625EF"/>
    <w:rsid w:val="00662A58"/>
    <w:rsid w:val="0066472A"/>
    <w:rsid w:val="00665B4D"/>
    <w:rsid w:val="00677A7D"/>
    <w:rsid w:val="0068369E"/>
    <w:rsid w:val="0068646C"/>
    <w:rsid w:val="00690A03"/>
    <w:rsid w:val="006B60F1"/>
    <w:rsid w:val="006C4D55"/>
    <w:rsid w:val="006D029A"/>
    <w:rsid w:val="006D530F"/>
    <w:rsid w:val="006D7838"/>
    <w:rsid w:val="006E295E"/>
    <w:rsid w:val="006E60B4"/>
    <w:rsid w:val="006F4AC3"/>
    <w:rsid w:val="006F6CE6"/>
    <w:rsid w:val="00702442"/>
    <w:rsid w:val="00703849"/>
    <w:rsid w:val="00704D71"/>
    <w:rsid w:val="007055CC"/>
    <w:rsid w:val="00707799"/>
    <w:rsid w:val="00710974"/>
    <w:rsid w:val="00720CF5"/>
    <w:rsid w:val="00724809"/>
    <w:rsid w:val="0073270F"/>
    <w:rsid w:val="00732E03"/>
    <w:rsid w:val="007358B5"/>
    <w:rsid w:val="007376DF"/>
    <w:rsid w:val="007472E1"/>
    <w:rsid w:val="00751ADB"/>
    <w:rsid w:val="007535CB"/>
    <w:rsid w:val="007548EC"/>
    <w:rsid w:val="00755392"/>
    <w:rsid w:val="00756FB3"/>
    <w:rsid w:val="0076112F"/>
    <w:rsid w:val="00763857"/>
    <w:rsid w:val="0077462E"/>
    <w:rsid w:val="0078251B"/>
    <w:rsid w:val="00784093"/>
    <w:rsid w:val="00787607"/>
    <w:rsid w:val="007953CC"/>
    <w:rsid w:val="00795460"/>
    <w:rsid w:val="007961A7"/>
    <w:rsid w:val="007A05B5"/>
    <w:rsid w:val="007A2612"/>
    <w:rsid w:val="007A57E2"/>
    <w:rsid w:val="007A5E4B"/>
    <w:rsid w:val="007B209D"/>
    <w:rsid w:val="007B602E"/>
    <w:rsid w:val="007B63B3"/>
    <w:rsid w:val="007B7F0B"/>
    <w:rsid w:val="007C13C7"/>
    <w:rsid w:val="007C49A6"/>
    <w:rsid w:val="007C4E3A"/>
    <w:rsid w:val="007C71E9"/>
    <w:rsid w:val="007D085B"/>
    <w:rsid w:val="007D5E44"/>
    <w:rsid w:val="007D619E"/>
    <w:rsid w:val="007D6293"/>
    <w:rsid w:val="007E0355"/>
    <w:rsid w:val="007E7F00"/>
    <w:rsid w:val="007F173E"/>
    <w:rsid w:val="007F28B0"/>
    <w:rsid w:val="00801A07"/>
    <w:rsid w:val="00802169"/>
    <w:rsid w:val="008040EF"/>
    <w:rsid w:val="00805975"/>
    <w:rsid w:val="0081145A"/>
    <w:rsid w:val="00815E20"/>
    <w:rsid w:val="0082291A"/>
    <w:rsid w:val="00824C2E"/>
    <w:rsid w:val="00827E92"/>
    <w:rsid w:val="00833174"/>
    <w:rsid w:val="0083362F"/>
    <w:rsid w:val="00842227"/>
    <w:rsid w:val="00844B61"/>
    <w:rsid w:val="00844C8D"/>
    <w:rsid w:val="0084574D"/>
    <w:rsid w:val="00850F03"/>
    <w:rsid w:val="00852ED7"/>
    <w:rsid w:val="008540AD"/>
    <w:rsid w:val="0085420B"/>
    <w:rsid w:val="00861D9C"/>
    <w:rsid w:val="00864FAA"/>
    <w:rsid w:val="00866E7B"/>
    <w:rsid w:val="00872002"/>
    <w:rsid w:val="00875665"/>
    <w:rsid w:val="00875FE8"/>
    <w:rsid w:val="008776F2"/>
    <w:rsid w:val="00883403"/>
    <w:rsid w:val="008907F1"/>
    <w:rsid w:val="00890981"/>
    <w:rsid w:val="0089118B"/>
    <w:rsid w:val="00891A59"/>
    <w:rsid w:val="00897E3C"/>
    <w:rsid w:val="008A075E"/>
    <w:rsid w:val="008A0E36"/>
    <w:rsid w:val="008A54C2"/>
    <w:rsid w:val="008C1D64"/>
    <w:rsid w:val="008C42AA"/>
    <w:rsid w:val="008D155C"/>
    <w:rsid w:val="008D6E61"/>
    <w:rsid w:val="008E05A2"/>
    <w:rsid w:val="008E1EDA"/>
    <w:rsid w:val="008E77E4"/>
    <w:rsid w:val="008F04E0"/>
    <w:rsid w:val="008F169F"/>
    <w:rsid w:val="008F1C89"/>
    <w:rsid w:val="008F4F53"/>
    <w:rsid w:val="008F5CD5"/>
    <w:rsid w:val="00902010"/>
    <w:rsid w:val="00902A53"/>
    <w:rsid w:val="00910AD7"/>
    <w:rsid w:val="009117F8"/>
    <w:rsid w:val="009147D5"/>
    <w:rsid w:val="009163BB"/>
    <w:rsid w:val="00917CC0"/>
    <w:rsid w:val="00923106"/>
    <w:rsid w:val="009278D5"/>
    <w:rsid w:val="0093023D"/>
    <w:rsid w:val="00937038"/>
    <w:rsid w:val="009375A9"/>
    <w:rsid w:val="00944451"/>
    <w:rsid w:val="00945D43"/>
    <w:rsid w:val="00950E49"/>
    <w:rsid w:val="00951450"/>
    <w:rsid w:val="00952A0E"/>
    <w:rsid w:val="00952C4E"/>
    <w:rsid w:val="00957ECA"/>
    <w:rsid w:val="00961F7A"/>
    <w:rsid w:val="009639DF"/>
    <w:rsid w:val="009653B2"/>
    <w:rsid w:val="009712A5"/>
    <w:rsid w:val="0097384A"/>
    <w:rsid w:val="009803A4"/>
    <w:rsid w:val="00981C3E"/>
    <w:rsid w:val="00982E21"/>
    <w:rsid w:val="00986485"/>
    <w:rsid w:val="00990ED8"/>
    <w:rsid w:val="00992A64"/>
    <w:rsid w:val="00996A1F"/>
    <w:rsid w:val="00996D08"/>
    <w:rsid w:val="009974D8"/>
    <w:rsid w:val="009A0359"/>
    <w:rsid w:val="009A2168"/>
    <w:rsid w:val="009A614A"/>
    <w:rsid w:val="009A6A41"/>
    <w:rsid w:val="009B0CB8"/>
    <w:rsid w:val="009B1E53"/>
    <w:rsid w:val="009B483B"/>
    <w:rsid w:val="009B5798"/>
    <w:rsid w:val="009B68A8"/>
    <w:rsid w:val="009B6B8E"/>
    <w:rsid w:val="009C138A"/>
    <w:rsid w:val="009C1831"/>
    <w:rsid w:val="009C1FFB"/>
    <w:rsid w:val="009C2039"/>
    <w:rsid w:val="009C3514"/>
    <w:rsid w:val="009D06A8"/>
    <w:rsid w:val="009D2523"/>
    <w:rsid w:val="009D2B36"/>
    <w:rsid w:val="009E1368"/>
    <w:rsid w:val="009E527A"/>
    <w:rsid w:val="009E59E8"/>
    <w:rsid w:val="009E6ADD"/>
    <w:rsid w:val="009F2DBA"/>
    <w:rsid w:val="009F354D"/>
    <w:rsid w:val="009F715B"/>
    <w:rsid w:val="00A0012D"/>
    <w:rsid w:val="00A00CBE"/>
    <w:rsid w:val="00A01CAD"/>
    <w:rsid w:val="00A01CDE"/>
    <w:rsid w:val="00A021D8"/>
    <w:rsid w:val="00A06A57"/>
    <w:rsid w:val="00A11A58"/>
    <w:rsid w:val="00A17849"/>
    <w:rsid w:val="00A22DF1"/>
    <w:rsid w:val="00A23231"/>
    <w:rsid w:val="00A2555A"/>
    <w:rsid w:val="00A3072A"/>
    <w:rsid w:val="00A40499"/>
    <w:rsid w:val="00A419B3"/>
    <w:rsid w:val="00A43149"/>
    <w:rsid w:val="00A46380"/>
    <w:rsid w:val="00A511A2"/>
    <w:rsid w:val="00A604B3"/>
    <w:rsid w:val="00A61E4A"/>
    <w:rsid w:val="00A71480"/>
    <w:rsid w:val="00A716BA"/>
    <w:rsid w:val="00A75669"/>
    <w:rsid w:val="00A765F6"/>
    <w:rsid w:val="00A833A4"/>
    <w:rsid w:val="00A84AB9"/>
    <w:rsid w:val="00A9023F"/>
    <w:rsid w:val="00A948D9"/>
    <w:rsid w:val="00A94EDF"/>
    <w:rsid w:val="00A96534"/>
    <w:rsid w:val="00A96847"/>
    <w:rsid w:val="00AA265E"/>
    <w:rsid w:val="00AA3CA4"/>
    <w:rsid w:val="00AA6634"/>
    <w:rsid w:val="00AB2B8F"/>
    <w:rsid w:val="00AB5FEB"/>
    <w:rsid w:val="00AC38EA"/>
    <w:rsid w:val="00AC4C74"/>
    <w:rsid w:val="00AD1ABF"/>
    <w:rsid w:val="00AD227B"/>
    <w:rsid w:val="00AE0A9A"/>
    <w:rsid w:val="00AE11A6"/>
    <w:rsid w:val="00AE38EB"/>
    <w:rsid w:val="00AE6C13"/>
    <w:rsid w:val="00AE7DC8"/>
    <w:rsid w:val="00AF2599"/>
    <w:rsid w:val="00AF6EAE"/>
    <w:rsid w:val="00B01BDC"/>
    <w:rsid w:val="00B02FCC"/>
    <w:rsid w:val="00B10D32"/>
    <w:rsid w:val="00B1171E"/>
    <w:rsid w:val="00B14982"/>
    <w:rsid w:val="00B14ED3"/>
    <w:rsid w:val="00B21A86"/>
    <w:rsid w:val="00B23FC5"/>
    <w:rsid w:val="00B3302A"/>
    <w:rsid w:val="00B3729A"/>
    <w:rsid w:val="00B373CC"/>
    <w:rsid w:val="00B37671"/>
    <w:rsid w:val="00B46656"/>
    <w:rsid w:val="00B47AC9"/>
    <w:rsid w:val="00B5001F"/>
    <w:rsid w:val="00B52269"/>
    <w:rsid w:val="00B53CF3"/>
    <w:rsid w:val="00B629D8"/>
    <w:rsid w:val="00B62DA4"/>
    <w:rsid w:val="00B65EA9"/>
    <w:rsid w:val="00B7447F"/>
    <w:rsid w:val="00B82A7E"/>
    <w:rsid w:val="00B835B1"/>
    <w:rsid w:val="00B8661C"/>
    <w:rsid w:val="00B905C1"/>
    <w:rsid w:val="00B9143B"/>
    <w:rsid w:val="00B941ED"/>
    <w:rsid w:val="00BA101B"/>
    <w:rsid w:val="00BA1127"/>
    <w:rsid w:val="00BA260F"/>
    <w:rsid w:val="00BA4852"/>
    <w:rsid w:val="00BA4A17"/>
    <w:rsid w:val="00BA5EF4"/>
    <w:rsid w:val="00BB0747"/>
    <w:rsid w:val="00BB19D0"/>
    <w:rsid w:val="00BB2428"/>
    <w:rsid w:val="00BB2D4C"/>
    <w:rsid w:val="00BB50E0"/>
    <w:rsid w:val="00BB5463"/>
    <w:rsid w:val="00BC0308"/>
    <w:rsid w:val="00BC180F"/>
    <w:rsid w:val="00BC4AFF"/>
    <w:rsid w:val="00BC7643"/>
    <w:rsid w:val="00BD14C2"/>
    <w:rsid w:val="00BD5E68"/>
    <w:rsid w:val="00BD7794"/>
    <w:rsid w:val="00BE50D2"/>
    <w:rsid w:val="00BE688A"/>
    <w:rsid w:val="00BE6C42"/>
    <w:rsid w:val="00BE7595"/>
    <w:rsid w:val="00BF7FDD"/>
    <w:rsid w:val="00C00369"/>
    <w:rsid w:val="00C05121"/>
    <w:rsid w:val="00C11030"/>
    <w:rsid w:val="00C110F2"/>
    <w:rsid w:val="00C13265"/>
    <w:rsid w:val="00C140F0"/>
    <w:rsid w:val="00C17F8F"/>
    <w:rsid w:val="00C221C4"/>
    <w:rsid w:val="00C244B2"/>
    <w:rsid w:val="00C26406"/>
    <w:rsid w:val="00C31CEE"/>
    <w:rsid w:val="00C330F3"/>
    <w:rsid w:val="00C34330"/>
    <w:rsid w:val="00C40423"/>
    <w:rsid w:val="00C421CB"/>
    <w:rsid w:val="00C42FE5"/>
    <w:rsid w:val="00C438F9"/>
    <w:rsid w:val="00C43A7D"/>
    <w:rsid w:val="00C43D92"/>
    <w:rsid w:val="00C456CF"/>
    <w:rsid w:val="00C523EE"/>
    <w:rsid w:val="00C5397F"/>
    <w:rsid w:val="00C55E3C"/>
    <w:rsid w:val="00C610E3"/>
    <w:rsid w:val="00C61ECA"/>
    <w:rsid w:val="00C631FE"/>
    <w:rsid w:val="00C64B13"/>
    <w:rsid w:val="00C70654"/>
    <w:rsid w:val="00C73CF8"/>
    <w:rsid w:val="00C76946"/>
    <w:rsid w:val="00C84265"/>
    <w:rsid w:val="00C8777D"/>
    <w:rsid w:val="00C90EF4"/>
    <w:rsid w:val="00C94618"/>
    <w:rsid w:val="00CA0DB2"/>
    <w:rsid w:val="00CA23D5"/>
    <w:rsid w:val="00CA24F0"/>
    <w:rsid w:val="00CA2FE2"/>
    <w:rsid w:val="00CB2CA2"/>
    <w:rsid w:val="00CB4242"/>
    <w:rsid w:val="00CD2DA5"/>
    <w:rsid w:val="00CE1F31"/>
    <w:rsid w:val="00CE2CDC"/>
    <w:rsid w:val="00CF0A27"/>
    <w:rsid w:val="00CF305C"/>
    <w:rsid w:val="00D003A8"/>
    <w:rsid w:val="00D02DD5"/>
    <w:rsid w:val="00D07694"/>
    <w:rsid w:val="00D136EF"/>
    <w:rsid w:val="00D141C2"/>
    <w:rsid w:val="00D1595F"/>
    <w:rsid w:val="00D17E36"/>
    <w:rsid w:val="00D22A94"/>
    <w:rsid w:val="00D23EDC"/>
    <w:rsid w:val="00D26AE9"/>
    <w:rsid w:val="00D27879"/>
    <w:rsid w:val="00D361E6"/>
    <w:rsid w:val="00D453BD"/>
    <w:rsid w:val="00D502EA"/>
    <w:rsid w:val="00D503FE"/>
    <w:rsid w:val="00D53694"/>
    <w:rsid w:val="00D61C56"/>
    <w:rsid w:val="00D67726"/>
    <w:rsid w:val="00D70537"/>
    <w:rsid w:val="00D738D0"/>
    <w:rsid w:val="00D74237"/>
    <w:rsid w:val="00D8277B"/>
    <w:rsid w:val="00D862F1"/>
    <w:rsid w:val="00D86B25"/>
    <w:rsid w:val="00D90C19"/>
    <w:rsid w:val="00D9103C"/>
    <w:rsid w:val="00DA13A2"/>
    <w:rsid w:val="00DA1FF6"/>
    <w:rsid w:val="00DB0F38"/>
    <w:rsid w:val="00DB15E6"/>
    <w:rsid w:val="00DB21CA"/>
    <w:rsid w:val="00DB6177"/>
    <w:rsid w:val="00DC6C65"/>
    <w:rsid w:val="00DD34D4"/>
    <w:rsid w:val="00DE1DDE"/>
    <w:rsid w:val="00DE1DFE"/>
    <w:rsid w:val="00DE2420"/>
    <w:rsid w:val="00DE7528"/>
    <w:rsid w:val="00E0107C"/>
    <w:rsid w:val="00E03D46"/>
    <w:rsid w:val="00E067E6"/>
    <w:rsid w:val="00E10B6E"/>
    <w:rsid w:val="00E119F2"/>
    <w:rsid w:val="00E12D35"/>
    <w:rsid w:val="00E22951"/>
    <w:rsid w:val="00E22DFB"/>
    <w:rsid w:val="00E26A51"/>
    <w:rsid w:val="00E3086D"/>
    <w:rsid w:val="00E32595"/>
    <w:rsid w:val="00E3300B"/>
    <w:rsid w:val="00E5363B"/>
    <w:rsid w:val="00E5560B"/>
    <w:rsid w:val="00E663FF"/>
    <w:rsid w:val="00E75A31"/>
    <w:rsid w:val="00E80EDA"/>
    <w:rsid w:val="00E81A40"/>
    <w:rsid w:val="00E824A4"/>
    <w:rsid w:val="00E9044D"/>
    <w:rsid w:val="00E9044E"/>
    <w:rsid w:val="00E90DCA"/>
    <w:rsid w:val="00E92EA8"/>
    <w:rsid w:val="00E93843"/>
    <w:rsid w:val="00E95B18"/>
    <w:rsid w:val="00E972D3"/>
    <w:rsid w:val="00EA0137"/>
    <w:rsid w:val="00EA3DBC"/>
    <w:rsid w:val="00EB54F8"/>
    <w:rsid w:val="00EC1129"/>
    <w:rsid w:val="00ED0D51"/>
    <w:rsid w:val="00ED3BDC"/>
    <w:rsid w:val="00ED4A1C"/>
    <w:rsid w:val="00ED5E2F"/>
    <w:rsid w:val="00EE179E"/>
    <w:rsid w:val="00EE5A9E"/>
    <w:rsid w:val="00EE5E27"/>
    <w:rsid w:val="00EF1258"/>
    <w:rsid w:val="00EF5174"/>
    <w:rsid w:val="00EF5EC4"/>
    <w:rsid w:val="00EF61DE"/>
    <w:rsid w:val="00F06055"/>
    <w:rsid w:val="00F11905"/>
    <w:rsid w:val="00F13875"/>
    <w:rsid w:val="00F14DEF"/>
    <w:rsid w:val="00F167EA"/>
    <w:rsid w:val="00F21378"/>
    <w:rsid w:val="00F25BB6"/>
    <w:rsid w:val="00F25F47"/>
    <w:rsid w:val="00F3120B"/>
    <w:rsid w:val="00F337A2"/>
    <w:rsid w:val="00F43712"/>
    <w:rsid w:val="00F43E32"/>
    <w:rsid w:val="00F44199"/>
    <w:rsid w:val="00F447A0"/>
    <w:rsid w:val="00F602B8"/>
    <w:rsid w:val="00F62030"/>
    <w:rsid w:val="00F623D0"/>
    <w:rsid w:val="00F62450"/>
    <w:rsid w:val="00F635E2"/>
    <w:rsid w:val="00F64F0A"/>
    <w:rsid w:val="00F656CE"/>
    <w:rsid w:val="00F750E3"/>
    <w:rsid w:val="00F77549"/>
    <w:rsid w:val="00F834FC"/>
    <w:rsid w:val="00F86D5D"/>
    <w:rsid w:val="00F91109"/>
    <w:rsid w:val="00F94033"/>
    <w:rsid w:val="00F95507"/>
    <w:rsid w:val="00F97823"/>
    <w:rsid w:val="00FA2968"/>
    <w:rsid w:val="00FB0650"/>
    <w:rsid w:val="00FB082E"/>
    <w:rsid w:val="00FB170D"/>
    <w:rsid w:val="00FB2F4D"/>
    <w:rsid w:val="00FB56BB"/>
    <w:rsid w:val="00FB60A4"/>
    <w:rsid w:val="00FC1064"/>
    <w:rsid w:val="00FC21C9"/>
    <w:rsid w:val="00FC359F"/>
    <w:rsid w:val="00FC49A8"/>
    <w:rsid w:val="00FC7B97"/>
    <w:rsid w:val="00FD4DB3"/>
    <w:rsid w:val="00FD58ED"/>
    <w:rsid w:val="00FD7CCE"/>
    <w:rsid w:val="00FE1FEF"/>
    <w:rsid w:val="00FE3E11"/>
    <w:rsid w:val="00FF5054"/>
    <w:rsid w:val="00FF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D08C"/>
  <w15:docId w15:val="{F0FE3AE6-58E1-40E6-9A98-EBC24AA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4D"/>
    <w:pPr>
      <w:spacing w:after="120"/>
      <w:jc w:val="both"/>
    </w:pPr>
    <w:rPr>
      <w:rFonts w:ascii="Segoe UI" w:hAnsi="Segoe UI" w:cs="Segoe UI"/>
      <w:sz w:val="20"/>
      <w:szCs w:val="24"/>
    </w:rPr>
  </w:style>
  <w:style w:type="paragraph" w:styleId="Heading1">
    <w:name w:val="heading 1"/>
    <w:basedOn w:val="NoSpacing"/>
    <w:next w:val="Normal"/>
    <w:link w:val="Heading1Char"/>
    <w:uiPriority w:val="9"/>
    <w:qFormat/>
    <w:rsid w:val="00665B4D"/>
    <w:pPr>
      <w:spacing w:before="480" w:after="120" w:line="276" w:lineRule="auto"/>
      <w:jc w:val="both"/>
      <w:outlineLvl w:val="0"/>
    </w:pPr>
    <w:rPr>
      <w:rFonts w:asciiTheme="majorHAnsi" w:hAnsiTheme="majorHAnsi"/>
      <w:b/>
      <w:color w:val="0054A6"/>
      <w:sz w:val="32"/>
      <w:szCs w:val="32"/>
    </w:rPr>
  </w:style>
  <w:style w:type="paragraph" w:styleId="Heading2">
    <w:name w:val="heading 2"/>
    <w:basedOn w:val="Normal"/>
    <w:next w:val="Normal"/>
    <w:link w:val="Heading2Char"/>
    <w:uiPriority w:val="9"/>
    <w:unhideWhenUsed/>
    <w:qFormat/>
    <w:rsid w:val="003D2C85"/>
    <w:pPr>
      <w:keepNext/>
      <w:keepLines/>
      <w:spacing w:before="40" w:after="0"/>
      <w:outlineLvl w:val="1"/>
    </w:pPr>
    <w:rPr>
      <w:rFonts w:asciiTheme="majorHAnsi" w:eastAsiaTheme="majorEastAsia" w:hAnsiTheme="majorHAnsi" w:cstheme="majorBidi"/>
      <w:color w:val="0054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6EB"/>
    <w:pPr>
      <w:spacing w:after="0" w:line="240" w:lineRule="auto"/>
    </w:pPr>
    <w:rPr>
      <w:rFonts w:asciiTheme="minorHAnsi" w:hAnsiTheme="minorHAnsi"/>
      <w:sz w:val="20"/>
    </w:rPr>
  </w:style>
  <w:style w:type="paragraph" w:styleId="BalloonText">
    <w:name w:val="Balloon Text"/>
    <w:basedOn w:val="Normal"/>
    <w:link w:val="BalloonTextChar"/>
    <w:uiPriority w:val="99"/>
    <w:semiHidden/>
    <w:unhideWhenUsed/>
    <w:rsid w:val="004F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F5"/>
    <w:rPr>
      <w:rFonts w:ascii="Tahoma" w:hAnsi="Tahoma" w:cs="Tahoma"/>
      <w:sz w:val="16"/>
      <w:szCs w:val="16"/>
    </w:rPr>
  </w:style>
  <w:style w:type="paragraph" w:styleId="Header">
    <w:name w:val="header"/>
    <w:basedOn w:val="Normal"/>
    <w:link w:val="HeaderChar"/>
    <w:unhideWhenUsed/>
    <w:rsid w:val="002767C1"/>
    <w:pPr>
      <w:tabs>
        <w:tab w:val="center" w:pos="4680"/>
        <w:tab w:val="right" w:pos="9360"/>
      </w:tabs>
      <w:spacing w:after="0" w:line="240" w:lineRule="auto"/>
    </w:pPr>
  </w:style>
  <w:style w:type="character" w:customStyle="1" w:styleId="HeaderChar">
    <w:name w:val="Header Char"/>
    <w:basedOn w:val="DefaultParagraphFont"/>
    <w:link w:val="Header"/>
    <w:rsid w:val="002767C1"/>
  </w:style>
  <w:style w:type="paragraph" w:styleId="Footer">
    <w:name w:val="footer"/>
    <w:basedOn w:val="Normal"/>
    <w:link w:val="FooterChar"/>
    <w:uiPriority w:val="99"/>
    <w:unhideWhenUsed/>
    <w:rsid w:val="0027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C1"/>
  </w:style>
  <w:style w:type="table" w:styleId="TableGrid">
    <w:name w:val="Table Grid"/>
    <w:basedOn w:val="TableNormal"/>
    <w:rsid w:val="0027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BDE"/>
    <w:pPr>
      <w:ind w:left="720"/>
      <w:contextualSpacing/>
    </w:pPr>
  </w:style>
  <w:style w:type="character" w:styleId="CommentReference">
    <w:name w:val="annotation reference"/>
    <w:basedOn w:val="DefaultParagraphFont"/>
    <w:uiPriority w:val="99"/>
    <w:semiHidden/>
    <w:unhideWhenUsed/>
    <w:rsid w:val="009B0CB8"/>
    <w:rPr>
      <w:sz w:val="16"/>
      <w:szCs w:val="16"/>
    </w:rPr>
  </w:style>
  <w:style w:type="paragraph" w:styleId="CommentText">
    <w:name w:val="annotation text"/>
    <w:basedOn w:val="Normal"/>
    <w:link w:val="CommentTextChar"/>
    <w:uiPriority w:val="99"/>
    <w:semiHidden/>
    <w:unhideWhenUsed/>
    <w:rsid w:val="009B0CB8"/>
    <w:pPr>
      <w:spacing w:line="240" w:lineRule="auto"/>
    </w:pPr>
    <w:rPr>
      <w:szCs w:val="20"/>
    </w:rPr>
  </w:style>
  <w:style w:type="character" w:customStyle="1" w:styleId="CommentTextChar">
    <w:name w:val="Comment Text Char"/>
    <w:basedOn w:val="DefaultParagraphFont"/>
    <w:link w:val="CommentText"/>
    <w:uiPriority w:val="99"/>
    <w:semiHidden/>
    <w:rsid w:val="009B0CB8"/>
    <w:rPr>
      <w:sz w:val="20"/>
      <w:szCs w:val="20"/>
    </w:rPr>
  </w:style>
  <w:style w:type="paragraph" w:styleId="CommentSubject">
    <w:name w:val="annotation subject"/>
    <w:basedOn w:val="CommentText"/>
    <w:next w:val="CommentText"/>
    <w:link w:val="CommentSubjectChar"/>
    <w:uiPriority w:val="99"/>
    <w:semiHidden/>
    <w:unhideWhenUsed/>
    <w:rsid w:val="009B0CB8"/>
    <w:rPr>
      <w:b/>
      <w:bCs/>
    </w:rPr>
  </w:style>
  <w:style w:type="character" w:customStyle="1" w:styleId="CommentSubjectChar">
    <w:name w:val="Comment Subject Char"/>
    <w:basedOn w:val="CommentTextChar"/>
    <w:link w:val="CommentSubject"/>
    <w:uiPriority w:val="99"/>
    <w:semiHidden/>
    <w:rsid w:val="009B0CB8"/>
    <w:rPr>
      <w:b/>
      <w:bCs/>
      <w:sz w:val="20"/>
      <w:szCs w:val="20"/>
    </w:rPr>
  </w:style>
  <w:style w:type="character" w:styleId="Hyperlink">
    <w:name w:val="Hyperlink"/>
    <w:basedOn w:val="DefaultParagraphFont"/>
    <w:uiPriority w:val="99"/>
    <w:unhideWhenUsed/>
    <w:rsid w:val="00AD1ABF"/>
    <w:rPr>
      <w:color w:val="0000FF" w:themeColor="hyperlink"/>
      <w:u w:val="single"/>
    </w:rPr>
  </w:style>
  <w:style w:type="paragraph" w:styleId="Caption">
    <w:name w:val="caption"/>
    <w:basedOn w:val="Normal"/>
    <w:next w:val="Normal"/>
    <w:uiPriority w:val="35"/>
    <w:unhideWhenUsed/>
    <w:qFormat/>
    <w:rsid w:val="004F2A74"/>
    <w:pPr>
      <w:spacing w:line="240" w:lineRule="auto"/>
    </w:pPr>
    <w:rPr>
      <w:i/>
      <w:iCs/>
      <w:color w:val="0054A6" w:themeColor="text2"/>
      <w:sz w:val="18"/>
      <w:szCs w:val="18"/>
    </w:rPr>
  </w:style>
  <w:style w:type="paragraph" w:styleId="Title">
    <w:name w:val="Title"/>
    <w:basedOn w:val="Normal"/>
    <w:next w:val="Normal"/>
    <w:link w:val="TitleChar"/>
    <w:uiPriority w:val="10"/>
    <w:qFormat/>
    <w:rsid w:val="000652E7"/>
    <w:rPr>
      <w:rFonts w:asciiTheme="minorHAnsi" w:eastAsiaTheme="minorEastAsia" w:hAnsiTheme="minorHAnsi"/>
      <w:b/>
      <w:bCs/>
      <w:sz w:val="28"/>
      <w:szCs w:val="28"/>
    </w:rPr>
  </w:style>
  <w:style w:type="character" w:customStyle="1" w:styleId="TitleChar">
    <w:name w:val="Title Char"/>
    <w:basedOn w:val="DefaultParagraphFont"/>
    <w:link w:val="Title"/>
    <w:uiPriority w:val="10"/>
    <w:rsid w:val="000652E7"/>
    <w:rPr>
      <w:rFonts w:asciiTheme="minorHAnsi" w:eastAsiaTheme="minorEastAsia" w:hAnsiTheme="minorHAnsi"/>
      <w:b/>
      <w:bCs/>
      <w:sz w:val="28"/>
      <w:szCs w:val="28"/>
    </w:rPr>
  </w:style>
  <w:style w:type="character" w:customStyle="1" w:styleId="Heading1Char">
    <w:name w:val="Heading 1 Char"/>
    <w:basedOn w:val="DefaultParagraphFont"/>
    <w:link w:val="Heading1"/>
    <w:uiPriority w:val="9"/>
    <w:rsid w:val="00665B4D"/>
    <w:rPr>
      <w:rFonts w:asciiTheme="majorHAnsi" w:hAnsiTheme="majorHAnsi"/>
      <w:b/>
      <w:color w:val="0054A6"/>
      <w:sz w:val="32"/>
      <w:szCs w:val="32"/>
    </w:rPr>
  </w:style>
  <w:style w:type="character" w:customStyle="1" w:styleId="Heading2Char">
    <w:name w:val="Heading 2 Char"/>
    <w:basedOn w:val="DefaultParagraphFont"/>
    <w:link w:val="Heading2"/>
    <w:uiPriority w:val="9"/>
    <w:rsid w:val="003D2C85"/>
    <w:rPr>
      <w:rFonts w:asciiTheme="majorHAnsi" w:eastAsiaTheme="majorEastAsia" w:hAnsiTheme="majorHAnsi" w:cstheme="majorBidi"/>
      <w:color w:val="0054A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9110">
      <w:bodyDiv w:val="1"/>
      <w:marLeft w:val="0"/>
      <w:marRight w:val="0"/>
      <w:marTop w:val="0"/>
      <w:marBottom w:val="0"/>
      <w:divBdr>
        <w:top w:val="none" w:sz="0" w:space="0" w:color="auto"/>
        <w:left w:val="none" w:sz="0" w:space="0" w:color="auto"/>
        <w:bottom w:val="none" w:sz="0" w:space="0" w:color="auto"/>
        <w:right w:val="none" w:sz="0" w:space="0" w:color="auto"/>
      </w:divBdr>
    </w:div>
    <w:div w:id="1535801892">
      <w:bodyDiv w:val="1"/>
      <w:marLeft w:val="0"/>
      <w:marRight w:val="0"/>
      <w:marTop w:val="0"/>
      <w:marBottom w:val="0"/>
      <w:divBdr>
        <w:top w:val="none" w:sz="0" w:space="0" w:color="auto"/>
        <w:left w:val="none" w:sz="0" w:space="0" w:color="auto"/>
        <w:bottom w:val="none" w:sz="0" w:space="0" w:color="auto"/>
        <w:right w:val="none" w:sz="0" w:space="0" w:color="auto"/>
      </w:divBdr>
      <w:divsChild>
        <w:div w:id="1379742951">
          <w:marLeft w:val="0"/>
          <w:marRight w:val="0"/>
          <w:marTop w:val="0"/>
          <w:marBottom w:val="0"/>
          <w:divBdr>
            <w:top w:val="none" w:sz="0" w:space="0" w:color="auto"/>
            <w:left w:val="none" w:sz="0" w:space="0" w:color="auto"/>
            <w:bottom w:val="none" w:sz="0" w:space="0" w:color="auto"/>
            <w:right w:val="none" w:sz="0" w:space="0" w:color="auto"/>
          </w:divBdr>
        </w:div>
        <w:div w:id="498035204">
          <w:marLeft w:val="0"/>
          <w:marRight w:val="0"/>
          <w:marTop w:val="0"/>
          <w:marBottom w:val="0"/>
          <w:divBdr>
            <w:top w:val="none" w:sz="0" w:space="0" w:color="auto"/>
            <w:left w:val="none" w:sz="0" w:space="0" w:color="auto"/>
            <w:bottom w:val="none" w:sz="0" w:space="0" w:color="auto"/>
            <w:right w:val="none" w:sz="0" w:space="0" w:color="auto"/>
          </w:divBdr>
        </w:div>
        <w:div w:id="1444151793">
          <w:marLeft w:val="0"/>
          <w:marRight w:val="0"/>
          <w:marTop w:val="0"/>
          <w:marBottom w:val="0"/>
          <w:divBdr>
            <w:top w:val="none" w:sz="0" w:space="0" w:color="auto"/>
            <w:left w:val="none" w:sz="0" w:space="0" w:color="auto"/>
            <w:bottom w:val="none" w:sz="0" w:space="0" w:color="auto"/>
            <w:right w:val="none" w:sz="0" w:space="0" w:color="auto"/>
          </w:divBdr>
        </w:div>
        <w:div w:id="294802132">
          <w:marLeft w:val="0"/>
          <w:marRight w:val="0"/>
          <w:marTop w:val="0"/>
          <w:marBottom w:val="0"/>
          <w:divBdr>
            <w:top w:val="none" w:sz="0" w:space="0" w:color="auto"/>
            <w:left w:val="none" w:sz="0" w:space="0" w:color="auto"/>
            <w:bottom w:val="none" w:sz="0" w:space="0" w:color="auto"/>
            <w:right w:val="none" w:sz="0" w:space="0" w:color="auto"/>
          </w:divBdr>
        </w:div>
        <w:div w:id="761873664">
          <w:marLeft w:val="0"/>
          <w:marRight w:val="0"/>
          <w:marTop w:val="0"/>
          <w:marBottom w:val="0"/>
          <w:divBdr>
            <w:top w:val="none" w:sz="0" w:space="0" w:color="auto"/>
            <w:left w:val="none" w:sz="0" w:space="0" w:color="auto"/>
            <w:bottom w:val="none" w:sz="0" w:space="0" w:color="auto"/>
            <w:right w:val="none" w:sz="0" w:space="0" w:color="auto"/>
          </w:divBdr>
        </w:div>
        <w:div w:id="561984956">
          <w:marLeft w:val="0"/>
          <w:marRight w:val="0"/>
          <w:marTop w:val="0"/>
          <w:marBottom w:val="0"/>
          <w:divBdr>
            <w:top w:val="none" w:sz="0" w:space="0" w:color="auto"/>
            <w:left w:val="none" w:sz="0" w:space="0" w:color="auto"/>
            <w:bottom w:val="none" w:sz="0" w:space="0" w:color="auto"/>
            <w:right w:val="none" w:sz="0" w:space="0" w:color="auto"/>
          </w:divBdr>
        </w:div>
        <w:div w:id="1986816423">
          <w:marLeft w:val="0"/>
          <w:marRight w:val="0"/>
          <w:marTop w:val="0"/>
          <w:marBottom w:val="0"/>
          <w:divBdr>
            <w:top w:val="none" w:sz="0" w:space="0" w:color="auto"/>
            <w:left w:val="none" w:sz="0" w:space="0" w:color="auto"/>
            <w:bottom w:val="none" w:sz="0" w:space="0" w:color="auto"/>
            <w:right w:val="none" w:sz="0" w:space="0" w:color="auto"/>
          </w:divBdr>
        </w:div>
        <w:div w:id="135661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C2015">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ETC">
      <a:majorFont>
        <a:latin typeface="Arial Black"/>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6262404605B449F931452738B88D3" ma:contentTypeVersion="3" ma:contentTypeDescription="Create a new document." ma:contentTypeScope="" ma:versionID="21eeb339838dd4bc709595a817c04db7">
  <xsd:schema xmlns:xsd="http://www.w3.org/2001/XMLSchema" xmlns:xs="http://www.w3.org/2001/XMLSchema" xmlns:p="http://schemas.microsoft.com/office/2006/metadata/properties" xmlns:ns1="http://schemas.microsoft.com/sharepoint/v3" targetNamespace="http://schemas.microsoft.com/office/2006/metadata/properties" ma:root="true" ma:fieldsID="8860f4b057a51a384931de9f58a07171"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E9ACD-F446-4BAB-B0D6-E96DBF218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28446-15B5-4FEB-AA69-82FA4FB0F0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F9C010-0DA3-463D-AE47-6FDCFEB37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ETC 2020 Strategy Process - Workshop Pre-Reads</vt:lpstr>
    </vt:vector>
  </TitlesOfParts>
  <Company>Emergency Telecommunications Cluster</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2020 Strategy Process - Workshop Pre-Reads</dc:title>
  <dc:creator>Eric Amiani Kiruhura</dc:creator>
  <cp:keywords>ETC;ETC 2020;Strategy Development;Thematic Areas;Work Streams</cp:keywords>
  <cp:lastModifiedBy>CHOJNACKA Katarzyna</cp:lastModifiedBy>
  <cp:revision>2</cp:revision>
  <dcterms:created xsi:type="dcterms:W3CDTF">2015-07-14T11:00:00Z</dcterms:created>
  <dcterms:modified xsi:type="dcterms:W3CDTF">2015-07-14T11:00:00Z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0x010100CCF6262404605B449F931452738B88D3</vt:lpwstr>
  </property>
</Properties>
</file>