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652E7" w:rsidRDefault="000652E7" w:rsidP="00665B4D">
      <w:r w:rsidRPr="009E2CB6">
        <w:rPr>
          <w:noProof/>
        </w:rPr>
        <mc:AlternateContent>
          <mc:Choice Requires="wps">
            <w:drawing>
              <wp:inline distT="0" distB="0" distL="0" distR="0" wp14:anchorId="52019EC9" wp14:editId="23355FE9">
                <wp:extent cx="6141600" cy="1073150"/>
                <wp:effectExtent l="0" t="0" r="1206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600" cy="1073150"/>
                        </a:xfrm>
                        <a:prstGeom prst="rect">
                          <a:avLst/>
                        </a:prstGeom>
                        <a:solidFill>
                          <a:srgbClr val="D8D8D8"/>
                        </a:solidFill>
                        <a:ln w="12700">
                          <a:solidFill>
                            <a:srgbClr val="F58220"/>
                          </a:solidFill>
                          <a:miter lim="800000"/>
                          <a:headEnd/>
                          <a:tailEnd/>
                        </a:ln>
                      </wps:spPr>
                      <wps:txbx>
                        <w:txbxContent>
                          <w:p w:rsidR="000652E7" w:rsidRPr="00665B4D" w:rsidRDefault="000652E7" w:rsidP="00665B4D">
                            <w:pPr>
                              <w:pStyle w:val="Title"/>
                              <w:rPr>
                                <w:rFonts w:asciiTheme="majorHAnsi" w:hAnsiTheme="majorHAnsi"/>
                                <w:sz w:val="32"/>
                                <w:szCs w:val="32"/>
                              </w:rPr>
                            </w:pPr>
                            <w:r w:rsidRPr="00665B4D">
                              <w:rPr>
                                <w:rFonts w:asciiTheme="majorHAnsi" w:hAnsiTheme="majorHAnsi"/>
                                <w:sz w:val="32"/>
                                <w:szCs w:val="32"/>
                              </w:rPr>
                              <w:t xml:space="preserve">ETC </w:t>
                            </w:r>
                            <w:r w:rsidR="004D31C0" w:rsidRPr="00665B4D">
                              <w:rPr>
                                <w:rFonts w:asciiTheme="majorHAnsi" w:hAnsiTheme="majorHAnsi"/>
                                <w:sz w:val="32"/>
                                <w:szCs w:val="32"/>
                              </w:rPr>
                              <w:t>2020 Strategy Process</w:t>
                            </w:r>
                            <w:r w:rsidR="0090762E">
                              <w:rPr>
                                <w:rFonts w:asciiTheme="majorHAnsi" w:hAnsiTheme="majorHAnsi"/>
                                <w:sz w:val="32"/>
                                <w:szCs w:val="32"/>
                              </w:rPr>
                              <w:t>: inputs to workshop</w:t>
                            </w:r>
                          </w:p>
                          <w:p w:rsidR="000652E7" w:rsidRDefault="004D31C0" w:rsidP="00665B4D">
                            <w:pPr>
                              <w:pStyle w:val="Title"/>
                            </w:pPr>
                            <w:r>
                              <w:t>W</w:t>
                            </w:r>
                            <w:r w:rsidR="00756FB3">
                              <w:t>ork Stream</w:t>
                            </w:r>
                            <w:r w:rsidR="0090762E">
                              <w:t xml:space="preserve"> #2:</w:t>
                            </w:r>
                            <w:r>
                              <w:t xml:space="preserve"> </w:t>
                            </w:r>
                            <w:r w:rsidR="0090762E" w:rsidRPr="0090762E">
                              <w:t>Working with Governments to build resilience</w:t>
                            </w:r>
                          </w:p>
                          <w:p w:rsidR="000652E7" w:rsidRPr="00665B4D" w:rsidRDefault="0090762E" w:rsidP="00665B4D">
                            <w:pPr>
                              <w:pStyle w:val="Title"/>
                              <w:rPr>
                                <w:sz w:val="22"/>
                                <w:szCs w:val="22"/>
                              </w:rPr>
                            </w:pPr>
                            <w:r>
                              <w:rPr>
                                <w:sz w:val="22"/>
                                <w:szCs w:val="22"/>
                              </w:rPr>
                              <w:t>March</w:t>
                            </w:r>
                            <w:r w:rsidR="004D31C0" w:rsidRPr="00665B4D">
                              <w:rPr>
                                <w:sz w:val="22"/>
                                <w:szCs w:val="22"/>
                              </w:rPr>
                              <w:t xml:space="preserve"> 2015</w:t>
                            </w:r>
                          </w:p>
                        </w:txbxContent>
                      </wps:txbx>
                      <wps:bodyPr rot="0" vert="horz" wrap="square" lIns="91440" tIns="45720" rIns="91440" bIns="45720" anchor="ctr" anchorCtr="0" upright="1">
                        <a:spAutoFit/>
                      </wps:bodyPr>
                    </wps:wsp>
                  </a:graphicData>
                </a:graphic>
              </wp:inline>
            </w:drawing>
          </mc:Choice>
          <mc:Fallback>
            <w:pict>
              <v:shapetype w14:anchorId="52019EC9" id="_x0000_t202" coordsize="21600,21600" o:spt="202" path="m,l,21600r21600,l21600,xe">
                <v:stroke joinstyle="miter"/>
                <v:path gradientshapeok="t" o:connecttype="rect"/>
              </v:shapetype>
              <v:shape id="Text Box 2" o:spid="_x0000_s1026" type="#_x0000_t202" style="width:483.6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UrLwIAAFQEAAAOAAAAZHJzL2Uyb0RvYy54bWysVNuO0zAQfUfiHyy/01zojajpamkpQlou&#10;0i4f4DhOY+HYZuw2KV+/Y6ctBSQeEK1keTzj4zNnZrK6GzpFjgKcNLqk2SSlRGhuaqn3Jf36tHu1&#10;pMR5pmumjBYlPQlH79YvX6x6W4jctEbVAgiCaFf0tqSt97ZIEsdb0TE3MVZodDYGOubRhH1SA+sR&#10;vVNJnqbzpDdQWzBcOIen29FJ1xG/aQT3n5vGCU9USZGbjyvEtQprsl6xYg/MtpKfabB/YNExqfHR&#10;K9SWeUYOIP+A6iQH40zjJ9x0iWkayUXMAbPJ0t+yeWyZFTEXFMfZq0zu/8HyT8cvQGSNtaNEsw5L&#10;9CQGT96ageRBnd66AoMeLYb5AY9DZMjU2QfDvzmizaZlei/uAUzfClYjuyzcTG6ujjgugFT9R1Pj&#10;M+zgTQQaGugCIIpBEB2rdLpWJlDheDjPptk8RRdHX5YuXmezWLuEFZfrFpx/L0xHwqakgKWP8Oz4&#10;4Hygw4pLSKRvlKx3UqlowL7aKCBHhm2yXYZ/zACzvA1TmvT4fL5AJn/H2M2WeX5h+AtGJz02vJJd&#10;SZdp+I0tGIR7p+vYjp5JNe6Rs9JnJYN4o4x+qIZzZSpTn1BTMGNj4yDipjXwg5Iem7qk7vuBgaBE&#10;fdBYlzfZdBqmIBrT2QIpErj1VLcepjlClZR7oGQ0Nn6cnYMFuW/xrUsv3GM1dzLqHMo+8jozx9aN&#10;8p/HLMzGrR2jfn4M1s8AAAD//wMAUEsDBBQABgAIAAAAIQB3hYYw2wAAAAUBAAAPAAAAZHJzL2Rv&#10;d25yZXYueG1sTI/BTsMwEETvSPyDtZW4UadFCk2IUxUkUA9cKHzANt4mKfE6xE4b/p6FC72MtJrR&#10;zNtiPblOnWgIrWcDi3kCirjytuXawMf78+0KVIjIFjvPZOCbAqzL66sCc+vP/EanXayVlHDI0UAT&#10;Y59rHaqGHIa574nFO/jBYZRzqLUd8CzlrtPLJEm1w5ZlocGenhqqPnejM0DHLH0dN/iyTb9W7fbR&#10;H6bjnTbmZjZtHkBFmuJ/GH7xBR1KYdr7kW1QnQF5JP6peFl6vwS1l1CaJaDLQl/Slz8AAAD//wMA&#10;UEsBAi0AFAAGAAgAAAAhALaDOJL+AAAA4QEAABMAAAAAAAAAAAAAAAAAAAAAAFtDb250ZW50X1R5&#10;cGVzXS54bWxQSwECLQAUAAYACAAAACEAOP0h/9YAAACUAQAACwAAAAAAAAAAAAAAAAAvAQAAX3Jl&#10;bHMvLnJlbHNQSwECLQAUAAYACAAAACEAWrRFKy8CAABUBAAADgAAAAAAAAAAAAAAAAAuAgAAZHJz&#10;L2Uyb0RvYy54bWxQSwECLQAUAAYACAAAACEAd4WGMNsAAAAFAQAADwAAAAAAAAAAAAAAAACJBAAA&#10;ZHJzL2Rvd25yZXYueG1sUEsFBgAAAAAEAAQA8wAAAJEFAAAAAA==&#10;" fillcolor="#d8d8d8" strokecolor="#f58220" strokeweight="1pt">
                <v:textbox style="mso-fit-shape-to-text:t">
                  <w:txbxContent>
                    <w:p w:rsidR="000652E7" w:rsidRPr="00665B4D" w:rsidRDefault="000652E7" w:rsidP="00665B4D">
                      <w:pPr>
                        <w:pStyle w:val="Title"/>
                        <w:rPr>
                          <w:rFonts w:asciiTheme="majorHAnsi" w:hAnsiTheme="majorHAnsi"/>
                          <w:sz w:val="32"/>
                          <w:szCs w:val="32"/>
                        </w:rPr>
                      </w:pPr>
                      <w:r w:rsidRPr="00665B4D">
                        <w:rPr>
                          <w:rFonts w:asciiTheme="majorHAnsi" w:hAnsiTheme="majorHAnsi"/>
                          <w:sz w:val="32"/>
                          <w:szCs w:val="32"/>
                        </w:rPr>
                        <w:t xml:space="preserve">ETC </w:t>
                      </w:r>
                      <w:r w:rsidR="004D31C0" w:rsidRPr="00665B4D">
                        <w:rPr>
                          <w:rFonts w:asciiTheme="majorHAnsi" w:hAnsiTheme="majorHAnsi"/>
                          <w:sz w:val="32"/>
                          <w:szCs w:val="32"/>
                        </w:rPr>
                        <w:t>2020 Strategy Process</w:t>
                      </w:r>
                      <w:r w:rsidR="0090762E">
                        <w:rPr>
                          <w:rFonts w:asciiTheme="majorHAnsi" w:hAnsiTheme="majorHAnsi"/>
                          <w:sz w:val="32"/>
                          <w:szCs w:val="32"/>
                        </w:rPr>
                        <w:t>: inputs to workshop</w:t>
                      </w:r>
                    </w:p>
                    <w:p w:rsidR="000652E7" w:rsidRDefault="004D31C0" w:rsidP="00665B4D">
                      <w:pPr>
                        <w:pStyle w:val="Title"/>
                      </w:pPr>
                      <w:r>
                        <w:t>W</w:t>
                      </w:r>
                      <w:r w:rsidR="00756FB3">
                        <w:t>ork Stream</w:t>
                      </w:r>
                      <w:r w:rsidR="0090762E">
                        <w:t xml:space="preserve"> #2:</w:t>
                      </w:r>
                      <w:r>
                        <w:t xml:space="preserve"> </w:t>
                      </w:r>
                      <w:r w:rsidR="0090762E" w:rsidRPr="0090762E">
                        <w:t>Working with Governments to build resilience</w:t>
                      </w:r>
                    </w:p>
                    <w:p w:rsidR="000652E7" w:rsidRPr="00665B4D" w:rsidRDefault="0090762E" w:rsidP="00665B4D">
                      <w:pPr>
                        <w:pStyle w:val="Title"/>
                        <w:rPr>
                          <w:sz w:val="22"/>
                          <w:szCs w:val="22"/>
                        </w:rPr>
                      </w:pPr>
                      <w:r>
                        <w:rPr>
                          <w:sz w:val="22"/>
                          <w:szCs w:val="22"/>
                        </w:rPr>
                        <w:t>March</w:t>
                      </w:r>
                      <w:r w:rsidR="004D31C0" w:rsidRPr="00665B4D">
                        <w:rPr>
                          <w:sz w:val="22"/>
                          <w:szCs w:val="22"/>
                        </w:rPr>
                        <w:t xml:space="preserve"> 2015</w:t>
                      </w:r>
                    </w:p>
                  </w:txbxContent>
                </v:textbox>
                <w10:anchorlock/>
              </v:shape>
            </w:pict>
          </mc:Fallback>
        </mc:AlternateContent>
      </w:r>
    </w:p>
    <w:p w:rsidR="0090762E" w:rsidRPr="00665B4D" w:rsidRDefault="0090762E" w:rsidP="00665B4D"/>
    <w:p w:rsidR="00B3729A" w:rsidRDefault="0090762E" w:rsidP="00665B4D">
      <w:pPr>
        <w:pStyle w:val="NoSpacing"/>
        <w:spacing w:line="276" w:lineRule="auto"/>
        <w:jc w:val="both"/>
      </w:pPr>
      <w:r w:rsidRPr="0090762E">
        <w:rPr>
          <w:rFonts w:asciiTheme="majorHAnsi" w:hAnsiTheme="majorHAnsi"/>
          <w:b/>
          <w:color w:val="0054A6"/>
        </w:rPr>
        <w:t>Work Stream #</w:t>
      </w:r>
      <w:r w:rsidRPr="0090762E">
        <w:rPr>
          <w:rFonts w:asciiTheme="majorHAnsi" w:hAnsiTheme="majorHAnsi"/>
          <w:color w:val="0054A6"/>
        </w:rPr>
        <w:t>2</w:t>
      </w:r>
      <w:r>
        <w:rPr>
          <w:rFonts w:asciiTheme="majorHAnsi" w:hAnsiTheme="majorHAnsi"/>
          <w:b/>
          <w:color w:val="0054A6"/>
        </w:rPr>
        <w:t xml:space="preserve"> – definition, value proposition and focus areas proposed to the ETC 2020 Workshop participants for consideration and validation </w:t>
      </w:r>
    </w:p>
    <w:p w:rsidR="0090762E" w:rsidRDefault="0090762E" w:rsidP="00665B4D">
      <w:pPr>
        <w:pStyle w:val="NoSpacing"/>
        <w:spacing w:line="276" w:lineRule="auto"/>
        <w:jc w:val="both"/>
        <w:rPr>
          <w:sz w:val="20"/>
          <w:szCs w:val="24"/>
        </w:rPr>
      </w:pPr>
    </w:p>
    <w:tbl>
      <w:tblPr>
        <w:tblStyle w:val="TableGrid"/>
        <w:tblW w:w="0" w:type="auto"/>
        <w:tblLook w:val="04A0" w:firstRow="1" w:lastRow="0" w:firstColumn="1" w:lastColumn="0" w:noHBand="0" w:noVBand="1"/>
      </w:tblPr>
      <w:tblGrid>
        <w:gridCol w:w="1541"/>
        <w:gridCol w:w="1157"/>
        <w:gridCol w:w="1527"/>
        <w:gridCol w:w="1530"/>
        <w:gridCol w:w="3982"/>
      </w:tblGrid>
      <w:tr w:rsidR="007C71E9" w:rsidRPr="00B47AC9" w:rsidTr="00B47AC9">
        <w:tc>
          <w:tcPr>
            <w:tcW w:w="9737" w:type="dxa"/>
            <w:gridSpan w:val="5"/>
            <w:shd w:val="clear" w:color="auto" w:fill="A6A6A6" w:themeFill="background1" w:themeFillShade="A6"/>
          </w:tcPr>
          <w:p w:rsidR="007C71E9" w:rsidRPr="00B47AC9" w:rsidRDefault="007C71E9" w:rsidP="00024A15">
            <w:pPr>
              <w:pStyle w:val="NoSpacing"/>
              <w:spacing w:line="276" w:lineRule="auto"/>
              <w:jc w:val="center"/>
              <w:rPr>
                <w:rFonts w:asciiTheme="minorHAnsi" w:hAnsiTheme="minorHAnsi" w:cstheme="minorHAnsi"/>
                <w:b/>
                <w:sz w:val="20"/>
                <w:szCs w:val="20"/>
              </w:rPr>
            </w:pPr>
            <w:r w:rsidRPr="00B47AC9">
              <w:rPr>
                <w:rFonts w:asciiTheme="minorHAnsi" w:hAnsiTheme="minorHAnsi" w:cstheme="minorHAnsi"/>
                <w:b/>
                <w:color w:val="FFFFFF" w:themeColor="background1"/>
              </w:rPr>
              <w:t>Work Stream #</w:t>
            </w:r>
            <w:r w:rsidR="00514F77">
              <w:rPr>
                <w:rFonts w:asciiTheme="minorHAnsi" w:hAnsiTheme="minorHAnsi" w:cstheme="minorHAnsi"/>
                <w:b/>
                <w:color w:val="FFFFFF" w:themeColor="background1"/>
              </w:rPr>
              <w:t>2</w:t>
            </w:r>
            <w:r w:rsidRPr="00B47AC9">
              <w:rPr>
                <w:rFonts w:asciiTheme="minorHAnsi" w:hAnsiTheme="minorHAnsi" w:cstheme="minorHAnsi"/>
                <w:b/>
                <w:color w:val="FFFFFF" w:themeColor="background1"/>
              </w:rPr>
              <w:t xml:space="preserve">: </w:t>
            </w:r>
            <w:r w:rsidR="00024A15">
              <w:rPr>
                <w:rFonts w:asciiTheme="minorHAnsi" w:hAnsiTheme="minorHAnsi" w:cstheme="minorHAnsi"/>
                <w:b/>
                <w:color w:val="FFFFFF" w:themeColor="background1"/>
              </w:rPr>
              <w:t>Working with Governments to build resilience</w:t>
            </w:r>
          </w:p>
        </w:tc>
      </w:tr>
      <w:tr w:rsidR="007C71E9" w:rsidRPr="00B47AC9" w:rsidTr="00CF0A27">
        <w:tc>
          <w:tcPr>
            <w:tcW w:w="1541" w:type="dxa"/>
          </w:tcPr>
          <w:p w:rsidR="007C71E9" w:rsidRPr="00B47AC9" w:rsidRDefault="00061782"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Brief Summary:</w:t>
            </w:r>
          </w:p>
        </w:tc>
        <w:tc>
          <w:tcPr>
            <w:tcW w:w="8196" w:type="dxa"/>
            <w:gridSpan w:val="4"/>
          </w:tcPr>
          <w:p w:rsidR="00514F77" w:rsidRDefault="00514F77" w:rsidP="00665B4D">
            <w:pPr>
              <w:pStyle w:val="NoSpacing"/>
              <w:spacing w:line="276" w:lineRule="auto"/>
              <w:jc w:val="both"/>
              <w:rPr>
                <w:rFonts w:ascii="Arial" w:hAnsi="Arial" w:cs="Arial"/>
                <w:color w:val="46484C"/>
                <w:sz w:val="20"/>
                <w:szCs w:val="20"/>
                <w:shd w:val="clear" w:color="auto" w:fill="FFFFFF"/>
              </w:rPr>
            </w:pPr>
            <w:proofErr w:type="spellStart"/>
            <w:r>
              <w:rPr>
                <w:rFonts w:ascii="Arial" w:hAnsi="Arial" w:cs="Arial"/>
                <w:color w:val="46484C"/>
                <w:sz w:val="20"/>
                <w:szCs w:val="20"/>
                <w:shd w:val="clear" w:color="auto" w:fill="FFFFFF"/>
              </w:rPr>
              <w:t>Workstream</w:t>
            </w:r>
            <w:proofErr w:type="spellEnd"/>
            <w:r>
              <w:rPr>
                <w:rFonts w:ascii="Arial" w:hAnsi="Arial" w:cs="Arial"/>
                <w:color w:val="46484C"/>
                <w:sz w:val="20"/>
                <w:szCs w:val="20"/>
                <w:shd w:val="clear" w:color="auto" w:fill="FFFFFF"/>
              </w:rPr>
              <w:t xml:space="preserve"> group</w:t>
            </w:r>
            <w:r w:rsidR="007A7E28">
              <w:rPr>
                <w:rFonts w:ascii="Arial" w:hAnsi="Arial" w:cs="Arial"/>
                <w:color w:val="46484C"/>
                <w:sz w:val="20"/>
                <w:szCs w:val="20"/>
                <w:shd w:val="clear" w:color="auto" w:fill="FFFFFF"/>
              </w:rPr>
              <w:t xml:space="preserve"> 2 is</w:t>
            </w:r>
            <w:r>
              <w:rPr>
                <w:rFonts w:ascii="Arial" w:hAnsi="Arial" w:cs="Arial"/>
                <w:color w:val="46484C"/>
                <w:sz w:val="20"/>
                <w:szCs w:val="20"/>
                <w:shd w:val="clear" w:color="auto" w:fill="FFFFFF"/>
              </w:rPr>
              <w:t xml:space="preserve"> chaired by Joe Burton, U.S</w:t>
            </w:r>
            <w:r w:rsidR="0090762E">
              <w:rPr>
                <w:rFonts w:ascii="Arial" w:hAnsi="Arial" w:cs="Arial"/>
                <w:color w:val="46484C"/>
                <w:sz w:val="20"/>
                <w:szCs w:val="20"/>
                <w:shd w:val="clear" w:color="auto" w:fill="FFFFFF"/>
              </w:rPr>
              <w:t>. Department</w:t>
            </w:r>
            <w:r w:rsidR="007A7E28">
              <w:rPr>
                <w:rFonts w:ascii="Arial" w:hAnsi="Arial" w:cs="Arial"/>
                <w:color w:val="46484C"/>
                <w:sz w:val="20"/>
                <w:szCs w:val="20"/>
                <w:shd w:val="clear" w:color="auto" w:fill="FFFFFF"/>
              </w:rPr>
              <w:t xml:space="preserve"> of State with</w:t>
            </w:r>
            <w:r>
              <w:rPr>
                <w:rFonts w:ascii="Arial" w:hAnsi="Arial" w:cs="Arial"/>
                <w:color w:val="46484C"/>
                <w:sz w:val="20"/>
                <w:szCs w:val="20"/>
                <w:shd w:val="clear" w:color="auto" w:fill="FFFFFF"/>
              </w:rPr>
              <w:t xml:space="preserve"> partners from SES Luxembourg, MSB, SMART Philippines, YahSat, </w:t>
            </w:r>
            <w:proofErr w:type="gramStart"/>
            <w:r>
              <w:rPr>
                <w:rFonts w:ascii="Arial" w:hAnsi="Arial" w:cs="Arial"/>
                <w:color w:val="46484C"/>
                <w:sz w:val="20"/>
                <w:szCs w:val="20"/>
                <w:shd w:val="clear" w:color="auto" w:fill="FFFFFF"/>
              </w:rPr>
              <w:t>UNDP</w:t>
            </w:r>
            <w:proofErr w:type="gramEnd"/>
            <w:r>
              <w:rPr>
                <w:rFonts w:ascii="Arial" w:hAnsi="Arial" w:cs="Arial"/>
                <w:color w:val="46484C"/>
                <w:sz w:val="20"/>
                <w:szCs w:val="20"/>
                <w:shd w:val="clear" w:color="auto" w:fill="FFFFFF"/>
              </w:rPr>
              <w:t>. BT and the Global ETC Support Cell, contribut</w:t>
            </w:r>
            <w:r w:rsidR="005D25CC">
              <w:rPr>
                <w:rFonts w:ascii="Arial" w:hAnsi="Arial" w:cs="Arial"/>
                <w:color w:val="46484C"/>
                <w:sz w:val="20"/>
                <w:szCs w:val="20"/>
                <w:shd w:val="clear" w:color="auto" w:fill="FFFFFF"/>
              </w:rPr>
              <w:t>ing</w:t>
            </w:r>
            <w:r>
              <w:rPr>
                <w:rFonts w:ascii="Arial" w:hAnsi="Arial" w:cs="Arial"/>
                <w:color w:val="46484C"/>
                <w:sz w:val="20"/>
                <w:szCs w:val="20"/>
                <w:shd w:val="clear" w:color="auto" w:fill="FFFFFF"/>
              </w:rPr>
              <w:t xml:space="preserve"> to the discussions. </w:t>
            </w:r>
          </w:p>
          <w:p w:rsidR="00024A15" w:rsidRPr="008F7F95" w:rsidRDefault="00C145FE" w:rsidP="008F7F95">
            <w:pPr>
              <w:rPr>
                <w:rFonts w:ascii="Arial" w:hAnsi="Arial" w:cs="Arial"/>
                <w:color w:val="46484C"/>
                <w:szCs w:val="20"/>
                <w:shd w:val="clear" w:color="auto" w:fill="FFFFFF"/>
              </w:rPr>
            </w:pPr>
            <w:r>
              <w:rPr>
                <w:rFonts w:ascii="Arial" w:hAnsi="Arial" w:cs="Arial"/>
                <w:color w:val="46484C"/>
                <w:szCs w:val="20"/>
                <w:shd w:val="clear" w:color="auto" w:fill="FFFFFF"/>
              </w:rPr>
              <w:t xml:space="preserve">The group </w:t>
            </w:r>
            <w:r w:rsidR="007A7E28">
              <w:rPr>
                <w:rFonts w:ascii="Arial" w:hAnsi="Arial" w:cs="Arial"/>
                <w:color w:val="46484C"/>
                <w:szCs w:val="20"/>
                <w:shd w:val="clear" w:color="auto" w:fill="FFFFFF"/>
              </w:rPr>
              <w:t xml:space="preserve">is </w:t>
            </w:r>
            <w:r w:rsidR="008F7F95">
              <w:rPr>
                <w:rFonts w:ascii="Arial" w:hAnsi="Arial" w:cs="Arial"/>
                <w:color w:val="46484C"/>
                <w:szCs w:val="20"/>
                <w:shd w:val="clear" w:color="auto" w:fill="FFFFFF"/>
              </w:rPr>
              <w:t>contributing to b</w:t>
            </w:r>
            <w:r w:rsidR="008F7F95" w:rsidRPr="008F7F95">
              <w:rPr>
                <w:rFonts w:ascii="Arial" w:hAnsi="Arial" w:cs="Arial"/>
                <w:color w:val="46484C"/>
                <w:szCs w:val="20"/>
                <w:shd w:val="clear" w:color="auto" w:fill="FFFFFF"/>
              </w:rPr>
              <w:t xml:space="preserve">uild a strategy to identify, prioritize, contact, engage and enable/empower governments to build greater resilience prior to future disasters and to work more efficiently with the Cluster, so that the ETC’s resources can be better leveraged and utilized. It has been exchanging on </w:t>
            </w:r>
            <w:r w:rsidR="007A7E28">
              <w:rPr>
                <w:rFonts w:ascii="Arial" w:hAnsi="Arial" w:cs="Arial"/>
                <w:color w:val="46484C"/>
                <w:szCs w:val="20"/>
                <w:shd w:val="clear" w:color="auto" w:fill="FFFFFF"/>
              </w:rPr>
              <w:t xml:space="preserve">how </w:t>
            </w:r>
            <w:r>
              <w:rPr>
                <w:rFonts w:ascii="Arial" w:hAnsi="Arial" w:cs="Arial"/>
                <w:color w:val="46484C"/>
                <w:szCs w:val="20"/>
                <w:shd w:val="clear" w:color="auto" w:fill="FFFFFF"/>
              </w:rPr>
              <w:t xml:space="preserve">the ETC </w:t>
            </w:r>
            <w:r w:rsidR="007A7E28">
              <w:rPr>
                <w:rFonts w:ascii="Arial" w:hAnsi="Arial" w:cs="Arial"/>
                <w:color w:val="46484C"/>
                <w:szCs w:val="20"/>
                <w:shd w:val="clear" w:color="auto" w:fill="FFFFFF"/>
              </w:rPr>
              <w:t xml:space="preserve">can </w:t>
            </w:r>
            <w:proofErr w:type="gramStart"/>
            <w:r w:rsidR="007A7E28">
              <w:rPr>
                <w:rFonts w:ascii="Arial" w:hAnsi="Arial" w:cs="Arial"/>
                <w:color w:val="46484C"/>
                <w:szCs w:val="20"/>
                <w:shd w:val="clear" w:color="auto" w:fill="FFFFFF"/>
              </w:rPr>
              <w:t xml:space="preserve">help  </w:t>
            </w:r>
            <w:r>
              <w:rPr>
                <w:rFonts w:ascii="Arial" w:hAnsi="Arial" w:cs="Arial"/>
                <w:color w:val="46484C"/>
                <w:szCs w:val="20"/>
                <w:shd w:val="clear" w:color="auto" w:fill="FFFFFF"/>
              </w:rPr>
              <w:t>governments</w:t>
            </w:r>
            <w:proofErr w:type="gramEnd"/>
            <w:r>
              <w:rPr>
                <w:rFonts w:ascii="Arial" w:hAnsi="Arial" w:cs="Arial"/>
                <w:color w:val="46484C"/>
                <w:szCs w:val="20"/>
                <w:shd w:val="clear" w:color="auto" w:fill="FFFFFF"/>
              </w:rPr>
              <w:t xml:space="preserve"> build resilience</w:t>
            </w:r>
            <w:r w:rsidR="007A7E28">
              <w:rPr>
                <w:rFonts w:ascii="Arial" w:hAnsi="Arial" w:cs="Arial"/>
                <w:color w:val="46484C"/>
                <w:szCs w:val="20"/>
                <w:shd w:val="clear" w:color="auto" w:fill="FFFFFF"/>
              </w:rPr>
              <w:t xml:space="preserve">, based on the </w:t>
            </w:r>
            <w:r w:rsidR="00514F77">
              <w:rPr>
                <w:rFonts w:ascii="Arial" w:hAnsi="Arial" w:cs="Arial"/>
                <w:color w:val="46484C"/>
                <w:szCs w:val="20"/>
                <w:shd w:val="clear" w:color="auto" w:fill="FFFFFF"/>
              </w:rPr>
              <w:t>experience</w:t>
            </w:r>
            <w:r w:rsidR="007A7E28">
              <w:rPr>
                <w:rFonts w:ascii="Arial" w:hAnsi="Arial" w:cs="Arial"/>
                <w:color w:val="46484C"/>
                <w:szCs w:val="20"/>
                <w:shd w:val="clear" w:color="auto" w:fill="FFFFFF"/>
              </w:rPr>
              <w:t xml:space="preserve">s </w:t>
            </w:r>
            <w:r w:rsidR="00514F77">
              <w:rPr>
                <w:rFonts w:ascii="Arial" w:hAnsi="Arial" w:cs="Arial"/>
                <w:color w:val="46484C"/>
                <w:szCs w:val="20"/>
                <w:shd w:val="clear" w:color="auto" w:fill="FFFFFF"/>
              </w:rPr>
              <w:t xml:space="preserve">of </w:t>
            </w:r>
            <w:proofErr w:type="spellStart"/>
            <w:r w:rsidR="007A7E28">
              <w:rPr>
                <w:rFonts w:ascii="Arial" w:hAnsi="Arial" w:cs="Arial"/>
                <w:color w:val="46484C"/>
                <w:szCs w:val="20"/>
                <w:shd w:val="clear" w:color="auto" w:fill="FFFFFF"/>
              </w:rPr>
              <w:t>workstream</w:t>
            </w:r>
            <w:proofErr w:type="spellEnd"/>
            <w:r w:rsidR="007A7E28">
              <w:rPr>
                <w:rFonts w:ascii="Arial" w:hAnsi="Arial" w:cs="Arial"/>
                <w:color w:val="46484C"/>
                <w:szCs w:val="20"/>
                <w:shd w:val="clear" w:color="auto" w:fill="FFFFFF"/>
              </w:rPr>
              <w:t xml:space="preserve"> participants. </w:t>
            </w:r>
          </w:p>
          <w:p w:rsidR="00514F77" w:rsidRPr="00514F77" w:rsidRDefault="007A7E28" w:rsidP="008839DA">
            <w:pPr>
              <w:pStyle w:val="NoSpacing"/>
              <w:spacing w:line="276" w:lineRule="auto"/>
              <w:jc w:val="both"/>
              <w:rPr>
                <w:rFonts w:ascii="Arial" w:hAnsi="Arial" w:cs="Arial"/>
                <w:color w:val="46484C"/>
                <w:sz w:val="20"/>
                <w:szCs w:val="20"/>
                <w:shd w:val="clear" w:color="auto" w:fill="FFFFFF"/>
              </w:rPr>
            </w:pPr>
            <w:r>
              <w:rPr>
                <w:rFonts w:ascii="Arial" w:hAnsi="Arial" w:cs="Arial"/>
                <w:color w:val="46484C"/>
                <w:sz w:val="20"/>
                <w:szCs w:val="20"/>
                <w:shd w:val="clear" w:color="auto" w:fill="FFFFFF"/>
              </w:rPr>
              <w:t xml:space="preserve">Using </w:t>
            </w:r>
            <w:r w:rsidR="00514F77">
              <w:rPr>
                <w:rFonts w:ascii="Arial" w:hAnsi="Arial" w:cs="Arial"/>
                <w:color w:val="46484C"/>
                <w:sz w:val="20"/>
                <w:szCs w:val="20"/>
                <w:shd w:val="clear" w:color="auto" w:fill="FFFFFF"/>
              </w:rPr>
              <w:t xml:space="preserve"> the </w:t>
            </w:r>
            <w:r w:rsidR="00024A15">
              <w:rPr>
                <w:rFonts w:ascii="Arial" w:hAnsi="Arial" w:cs="Arial"/>
                <w:color w:val="46484C"/>
                <w:sz w:val="20"/>
                <w:szCs w:val="20"/>
                <w:shd w:val="clear" w:color="auto" w:fill="FFFFFF"/>
              </w:rPr>
              <w:t>United Nations Office for Disaster Risk Reduction (UNISDR)</w:t>
            </w:r>
            <w:r>
              <w:rPr>
                <w:rFonts w:ascii="Arial" w:hAnsi="Arial" w:cs="Arial"/>
                <w:color w:val="46484C"/>
                <w:sz w:val="20"/>
                <w:szCs w:val="20"/>
                <w:shd w:val="clear" w:color="auto" w:fill="FFFFFF"/>
              </w:rPr>
              <w:t xml:space="preserve"> definition of resilience</w:t>
            </w:r>
            <w:r w:rsidR="00024A15">
              <w:rPr>
                <w:rFonts w:ascii="Arial" w:hAnsi="Arial" w:cs="Arial"/>
                <w:color w:val="46484C"/>
                <w:sz w:val="20"/>
                <w:szCs w:val="20"/>
                <w:shd w:val="clear" w:color="auto" w:fill="FFFFFF"/>
              </w:rPr>
              <w:t>:</w:t>
            </w:r>
            <w:r w:rsidR="00024A15">
              <w:rPr>
                <w:rFonts w:ascii="Arial" w:hAnsi="Arial" w:cs="Arial"/>
                <w:color w:val="46484C"/>
                <w:sz w:val="20"/>
                <w:szCs w:val="20"/>
              </w:rPr>
              <w:br/>
            </w:r>
            <w:r w:rsidR="009F666B">
              <w:rPr>
                <w:rFonts w:ascii="Arial" w:hAnsi="Arial" w:cs="Arial"/>
                <w:color w:val="46484C"/>
                <w:sz w:val="20"/>
                <w:szCs w:val="20"/>
                <w:shd w:val="clear" w:color="auto" w:fill="FFFFFF"/>
              </w:rPr>
              <w:t>(</w:t>
            </w:r>
            <w:r w:rsidR="00024A15">
              <w:rPr>
                <w:rFonts w:ascii="Arial" w:hAnsi="Arial" w:cs="Arial"/>
                <w:color w:val="46484C"/>
                <w:sz w:val="20"/>
                <w:szCs w:val="20"/>
                <w:shd w:val="clear" w:color="auto" w:fill="FFFFFF"/>
              </w:rPr>
              <w:t>“The ability of a system, community or society exposed to hazards to resist, absorb, accommodate to and recover from the effects of a hazard in a timely and efficient manner, including through the preservation and restoration of its essential basic structures and functions”</w:t>
            </w:r>
            <w:r w:rsidR="009F666B">
              <w:rPr>
                <w:rFonts w:ascii="Arial" w:hAnsi="Arial" w:cs="Arial"/>
                <w:color w:val="46484C"/>
                <w:sz w:val="20"/>
                <w:szCs w:val="20"/>
                <w:shd w:val="clear" w:color="auto" w:fill="FFFFFF"/>
              </w:rPr>
              <w:t xml:space="preserve">) </w:t>
            </w:r>
            <w:r>
              <w:rPr>
                <w:rFonts w:ascii="Arial" w:hAnsi="Arial" w:cs="Arial"/>
                <w:color w:val="46484C"/>
                <w:sz w:val="20"/>
                <w:szCs w:val="20"/>
                <w:shd w:val="clear" w:color="auto" w:fill="FFFFFF"/>
              </w:rPr>
              <w:t xml:space="preserve">as a reference point, </w:t>
            </w:r>
            <w:r w:rsidR="00514F77">
              <w:rPr>
                <w:rFonts w:ascii="Arial" w:hAnsi="Arial" w:cs="Arial"/>
                <w:color w:val="46484C"/>
                <w:sz w:val="20"/>
                <w:szCs w:val="20"/>
                <w:shd w:val="clear" w:color="auto" w:fill="FFFFFF"/>
              </w:rPr>
              <w:t xml:space="preserve">the group </w:t>
            </w:r>
            <w:r>
              <w:rPr>
                <w:rFonts w:ascii="Arial" w:hAnsi="Arial" w:cs="Arial"/>
                <w:color w:val="46484C"/>
                <w:sz w:val="20"/>
                <w:szCs w:val="20"/>
                <w:shd w:val="clear" w:color="auto" w:fill="FFFFFF"/>
              </w:rPr>
              <w:t xml:space="preserve">is </w:t>
            </w:r>
            <w:r w:rsidR="00514F77">
              <w:rPr>
                <w:rFonts w:ascii="Arial" w:hAnsi="Arial" w:cs="Arial"/>
                <w:color w:val="46484C"/>
                <w:sz w:val="20"/>
                <w:szCs w:val="20"/>
                <w:shd w:val="clear" w:color="auto" w:fill="FFFFFF"/>
              </w:rPr>
              <w:t>streamlin</w:t>
            </w:r>
            <w:r>
              <w:rPr>
                <w:rFonts w:ascii="Arial" w:hAnsi="Arial" w:cs="Arial"/>
                <w:color w:val="46484C"/>
                <w:sz w:val="20"/>
                <w:szCs w:val="20"/>
                <w:shd w:val="clear" w:color="auto" w:fill="FFFFFF"/>
              </w:rPr>
              <w:t>ing</w:t>
            </w:r>
            <w:r w:rsidR="00514F77">
              <w:rPr>
                <w:rFonts w:ascii="Arial" w:hAnsi="Arial" w:cs="Arial"/>
                <w:color w:val="46484C"/>
                <w:sz w:val="20"/>
                <w:szCs w:val="20"/>
                <w:shd w:val="clear" w:color="auto" w:fill="FFFFFF"/>
              </w:rPr>
              <w:t xml:space="preserve"> this definition to tackle resilience of national communications systems and</w:t>
            </w:r>
            <w:r w:rsidR="008839DA">
              <w:rPr>
                <w:rFonts w:ascii="Arial" w:hAnsi="Arial" w:cs="Arial"/>
                <w:color w:val="46484C"/>
                <w:sz w:val="20"/>
                <w:szCs w:val="20"/>
                <w:shd w:val="clear" w:color="auto" w:fill="FFFFFF"/>
              </w:rPr>
              <w:t xml:space="preserve"> </w:t>
            </w:r>
            <w:proofErr w:type="spellStart"/>
            <w:r w:rsidR="008839DA">
              <w:rPr>
                <w:rFonts w:ascii="Arial" w:hAnsi="Arial" w:cs="Arial"/>
                <w:color w:val="46484C"/>
                <w:sz w:val="20"/>
                <w:szCs w:val="20"/>
                <w:shd w:val="clear" w:color="auto" w:fill="FFFFFF"/>
              </w:rPr>
              <w:t>toconsider</w:t>
            </w:r>
            <w:proofErr w:type="spellEnd"/>
            <w:r w:rsidR="008839DA">
              <w:rPr>
                <w:rFonts w:ascii="Arial" w:hAnsi="Arial" w:cs="Arial"/>
                <w:color w:val="46484C"/>
                <w:sz w:val="20"/>
                <w:szCs w:val="20"/>
                <w:shd w:val="clear" w:color="auto" w:fill="FFFFFF"/>
              </w:rPr>
              <w:t xml:space="preserve"> how future ETC responses could be better enabled, if needed. </w:t>
            </w:r>
            <w:r w:rsidR="00514F77">
              <w:rPr>
                <w:rFonts w:ascii="Arial" w:hAnsi="Arial" w:cs="Arial"/>
                <w:color w:val="46484C"/>
                <w:sz w:val="20"/>
                <w:szCs w:val="20"/>
                <w:shd w:val="clear" w:color="auto" w:fill="FFFFFF"/>
              </w:rPr>
              <w:t xml:space="preserve">. </w:t>
            </w:r>
          </w:p>
        </w:tc>
      </w:tr>
      <w:tr w:rsidR="00061782" w:rsidRPr="00B47AC9" w:rsidTr="00CF0A27">
        <w:tc>
          <w:tcPr>
            <w:tcW w:w="1541" w:type="dxa"/>
          </w:tcPr>
          <w:p w:rsidR="00061782" w:rsidRPr="00B47AC9" w:rsidRDefault="00061782"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Value Proposition:</w:t>
            </w:r>
          </w:p>
        </w:tc>
        <w:tc>
          <w:tcPr>
            <w:tcW w:w="8196" w:type="dxa"/>
            <w:gridSpan w:val="4"/>
          </w:tcPr>
          <w:p w:rsidR="00061782" w:rsidRPr="00B47AC9" w:rsidRDefault="001A1FBA" w:rsidP="001A1FBA">
            <w:pPr>
              <w:pStyle w:val="NoSpacing"/>
              <w:spacing w:line="276" w:lineRule="auto"/>
              <w:jc w:val="both"/>
              <w:rPr>
                <w:rFonts w:asciiTheme="minorHAnsi" w:hAnsiTheme="minorHAnsi" w:cstheme="minorHAnsi"/>
                <w:color w:val="0066FF"/>
                <w:sz w:val="20"/>
                <w:szCs w:val="20"/>
              </w:rPr>
            </w:pPr>
            <w:r w:rsidRPr="001A1FBA">
              <w:rPr>
                <w:rFonts w:asciiTheme="minorHAnsi" w:hAnsiTheme="minorHAnsi" w:cstheme="minorHAnsi"/>
                <w:sz w:val="20"/>
                <w:szCs w:val="20"/>
              </w:rPr>
              <w:t xml:space="preserve">For government entities active in emergencies needing to communicate internally, with humanitarian actors, or with crisis affected populations, the ETC has </w:t>
            </w:r>
            <w:proofErr w:type="gramStart"/>
            <w:r w:rsidRPr="001A1FBA">
              <w:rPr>
                <w:rFonts w:asciiTheme="minorHAnsi" w:hAnsiTheme="minorHAnsi" w:cstheme="minorHAnsi"/>
                <w:sz w:val="20"/>
                <w:szCs w:val="20"/>
              </w:rPr>
              <w:t>the  expertise</w:t>
            </w:r>
            <w:proofErr w:type="gramEnd"/>
            <w:r w:rsidRPr="001A1FBA">
              <w:rPr>
                <w:rFonts w:asciiTheme="minorHAnsi" w:hAnsiTheme="minorHAnsi" w:cstheme="minorHAnsi"/>
                <w:sz w:val="20"/>
                <w:szCs w:val="20"/>
              </w:rPr>
              <w:t>, ability and network of partners to help prepare governments to build greater communications resilience and to partner with the ETC, if needed, to enable essential communications channels to be maintained or restored within 48 hours.</w:t>
            </w:r>
          </w:p>
        </w:tc>
      </w:tr>
      <w:tr w:rsidR="00061782" w:rsidRPr="00B47AC9" w:rsidTr="00CF0A27">
        <w:tc>
          <w:tcPr>
            <w:tcW w:w="1541" w:type="dxa"/>
            <w:vMerge w:val="restart"/>
          </w:tcPr>
          <w:p w:rsidR="00061782" w:rsidRPr="00B47AC9" w:rsidRDefault="00061782"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Focus Areas:</w:t>
            </w:r>
          </w:p>
        </w:tc>
        <w:tc>
          <w:tcPr>
            <w:tcW w:w="8196" w:type="dxa"/>
            <w:gridSpan w:val="4"/>
          </w:tcPr>
          <w:p w:rsidR="00061782" w:rsidRPr="00B47AC9" w:rsidRDefault="001A1FBA" w:rsidP="001A1FBA">
            <w:pPr>
              <w:pStyle w:val="NoSpacing"/>
              <w:numPr>
                <w:ilvl w:val="0"/>
                <w:numId w:val="18"/>
              </w:numPr>
              <w:spacing w:line="276" w:lineRule="auto"/>
              <w:jc w:val="both"/>
              <w:rPr>
                <w:rFonts w:asciiTheme="minorHAnsi" w:hAnsiTheme="minorHAnsi" w:cstheme="minorHAnsi"/>
                <w:sz w:val="20"/>
                <w:szCs w:val="20"/>
              </w:rPr>
            </w:pPr>
            <w:r w:rsidRPr="001A1FBA">
              <w:rPr>
                <w:rFonts w:asciiTheme="minorHAnsi" w:hAnsiTheme="minorHAnsi" w:cstheme="minorHAnsi"/>
                <w:sz w:val="20"/>
                <w:szCs w:val="20"/>
              </w:rPr>
              <w:t>People:  To build enhanced capacity,  the ETC will convene the contacts, resources, and partners necessary to form relationships with priority governments, build communications network and response resilience and enable governments to work with the Cluster if needed.</w:t>
            </w:r>
          </w:p>
        </w:tc>
      </w:tr>
      <w:tr w:rsidR="00061782" w:rsidRPr="00B47AC9" w:rsidTr="00CF0A27">
        <w:tc>
          <w:tcPr>
            <w:tcW w:w="1541" w:type="dxa"/>
            <w:vMerge/>
          </w:tcPr>
          <w:p w:rsidR="00061782" w:rsidRPr="00B47AC9" w:rsidRDefault="00061782" w:rsidP="00665B4D">
            <w:pPr>
              <w:pStyle w:val="NoSpacing"/>
              <w:spacing w:line="276" w:lineRule="auto"/>
              <w:jc w:val="both"/>
              <w:rPr>
                <w:rFonts w:asciiTheme="minorHAnsi" w:hAnsiTheme="minorHAnsi" w:cstheme="minorHAnsi"/>
                <w:b/>
                <w:sz w:val="20"/>
                <w:szCs w:val="20"/>
              </w:rPr>
            </w:pPr>
          </w:p>
        </w:tc>
        <w:tc>
          <w:tcPr>
            <w:tcW w:w="8196" w:type="dxa"/>
            <w:gridSpan w:val="4"/>
          </w:tcPr>
          <w:p w:rsidR="00061782" w:rsidRPr="00B47AC9" w:rsidRDefault="00202202" w:rsidP="00202202">
            <w:pPr>
              <w:pStyle w:val="NoSpacing"/>
              <w:numPr>
                <w:ilvl w:val="0"/>
                <w:numId w:val="18"/>
              </w:numPr>
              <w:spacing w:line="276" w:lineRule="auto"/>
              <w:jc w:val="both"/>
              <w:rPr>
                <w:rFonts w:asciiTheme="minorHAnsi" w:hAnsiTheme="minorHAnsi" w:cstheme="minorHAnsi"/>
                <w:sz w:val="20"/>
                <w:szCs w:val="20"/>
              </w:rPr>
            </w:pPr>
            <w:r>
              <w:rPr>
                <w:rFonts w:asciiTheme="minorHAnsi" w:hAnsiTheme="minorHAnsi" w:cstheme="minorHAnsi"/>
                <w:sz w:val="20"/>
                <w:szCs w:val="20"/>
              </w:rPr>
              <w:t>P</w:t>
            </w:r>
            <w:r w:rsidR="001A1FBA" w:rsidRPr="001A1FBA">
              <w:rPr>
                <w:rFonts w:asciiTheme="minorHAnsi" w:hAnsiTheme="minorHAnsi" w:cstheme="minorHAnsi"/>
                <w:sz w:val="20"/>
                <w:szCs w:val="20"/>
              </w:rPr>
              <w:t>olicies / Regulations</w:t>
            </w:r>
            <w:r w:rsidR="002E35CF">
              <w:rPr>
                <w:rFonts w:asciiTheme="minorHAnsi" w:hAnsiTheme="minorHAnsi" w:cstheme="minorHAnsi"/>
                <w:sz w:val="20"/>
                <w:szCs w:val="20"/>
              </w:rPr>
              <w:t xml:space="preserve"> (including Advocacy)</w:t>
            </w:r>
            <w:r w:rsidR="001A1FBA" w:rsidRPr="001A1FBA">
              <w:rPr>
                <w:rFonts w:asciiTheme="minorHAnsi" w:hAnsiTheme="minorHAnsi" w:cstheme="minorHAnsi"/>
                <w:sz w:val="20"/>
                <w:szCs w:val="20"/>
              </w:rPr>
              <w:t xml:space="preserve">:  To define its working relationships with governments, the ETC will </w:t>
            </w:r>
            <w:r w:rsidRPr="00202202">
              <w:rPr>
                <w:rFonts w:asciiTheme="minorHAnsi" w:hAnsiTheme="minorHAnsi" w:cstheme="minorHAnsi"/>
                <w:sz w:val="20"/>
                <w:szCs w:val="20"/>
              </w:rPr>
              <w:t>acqui</w:t>
            </w:r>
            <w:r>
              <w:rPr>
                <w:rFonts w:asciiTheme="minorHAnsi" w:hAnsiTheme="minorHAnsi" w:cstheme="minorHAnsi"/>
                <w:sz w:val="20"/>
                <w:szCs w:val="20"/>
              </w:rPr>
              <w:t>re</w:t>
            </w:r>
            <w:r w:rsidRPr="00202202">
              <w:rPr>
                <w:rFonts w:asciiTheme="minorHAnsi" w:hAnsiTheme="minorHAnsi" w:cstheme="minorHAnsi"/>
                <w:sz w:val="20"/>
                <w:szCs w:val="20"/>
              </w:rPr>
              <w:t xml:space="preserve"> an understanding of country policies and regulations that enhance resilience</w:t>
            </w:r>
            <w:r>
              <w:rPr>
                <w:rFonts w:asciiTheme="minorHAnsi" w:hAnsiTheme="minorHAnsi" w:cstheme="minorHAnsi"/>
                <w:sz w:val="20"/>
                <w:szCs w:val="20"/>
              </w:rPr>
              <w:t xml:space="preserve">, </w:t>
            </w:r>
            <w:r w:rsidR="008839DA">
              <w:rPr>
                <w:rFonts w:asciiTheme="minorHAnsi" w:hAnsiTheme="minorHAnsi" w:cstheme="minorHAnsi"/>
                <w:sz w:val="20"/>
                <w:szCs w:val="20"/>
              </w:rPr>
              <w:t xml:space="preserve">and </w:t>
            </w:r>
            <w:r w:rsidR="001A1FBA" w:rsidRPr="001A1FBA">
              <w:rPr>
                <w:rFonts w:asciiTheme="minorHAnsi" w:hAnsiTheme="minorHAnsi" w:cstheme="minorHAnsi"/>
                <w:sz w:val="20"/>
                <w:szCs w:val="20"/>
              </w:rPr>
              <w:t xml:space="preserve">determine its policies and communicate the ETC’s expectations for governments to work with the ETC </w:t>
            </w:r>
            <w:proofErr w:type="gramStart"/>
            <w:r w:rsidR="001A1FBA" w:rsidRPr="001A1FBA">
              <w:rPr>
                <w:rFonts w:asciiTheme="minorHAnsi" w:hAnsiTheme="minorHAnsi" w:cstheme="minorHAnsi"/>
                <w:sz w:val="20"/>
                <w:szCs w:val="20"/>
              </w:rPr>
              <w:t>( to</w:t>
            </w:r>
            <w:proofErr w:type="gramEnd"/>
            <w:r w:rsidR="001A1FBA" w:rsidRPr="001A1FBA">
              <w:rPr>
                <w:rFonts w:asciiTheme="minorHAnsi" w:hAnsiTheme="minorHAnsi" w:cstheme="minorHAnsi"/>
                <w:sz w:val="20"/>
                <w:szCs w:val="20"/>
              </w:rPr>
              <w:t xml:space="preserve"> include how we can work, what </w:t>
            </w:r>
            <w:r w:rsidR="001A1FBA" w:rsidRPr="001A1FBA">
              <w:rPr>
                <w:rFonts w:asciiTheme="minorHAnsi" w:hAnsiTheme="minorHAnsi" w:cstheme="minorHAnsi"/>
                <w:sz w:val="20"/>
                <w:szCs w:val="20"/>
              </w:rPr>
              <w:lastRenderedPageBreak/>
              <w:t xml:space="preserve">we can provide, manage expectations).   To understand the current policy landscape for communications resilience and response  and how to improve it, the ETC will gather information on current national and multilateral policies, instruments and regulations that 1) enhance communications network and response resilience, (to also include multilateral instruments such as humanitarian frequencies and the Tampere convention)and 2)   enable ETC deployment if needed (including access, importation, frequency approvals),  compiling or building international best practices to be shared widely.     </w:t>
            </w:r>
          </w:p>
        </w:tc>
      </w:tr>
      <w:tr w:rsidR="00061782" w:rsidRPr="00B47AC9" w:rsidTr="00CF0A27">
        <w:tc>
          <w:tcPr>
            <w:tcW w:w="1541" w:type="dxa"/>
            <w:vMerge/>
          </w:tcPr>
          <w:p w:rsidR="00061782" w:rsidRPr="00B47AC9" w:rsidRDefault="00061782" w:rsidP="00665B4D">
            <w:pPr>
              <w:pStyle w:val="NoSpacing"/>
              <w:spacing w:line="276" w:lineRule="auto"/>
              <w:jc w:val="both"/>
              <w:rPr>
                <w:rFonts w:asciiTheme="minorHAnsi" w:hAnsiTheme="minorHAnsi" w:cstheme="minorHAnsi"/>
                <w:b/>
                <w:sz w:val="20"/>
                <w:szCs w:val="20"/>
              </w:rPr>
            </w:pPr>
          </w:p>
        </w:tc>
        <w:tc>
          <w:tcPr>
            <w:tcW w:w="8196" w:type="dxa"/>
            <w:gridSpan w:val="4"/>
          </w:tcPr>
          <w:p w:rsidR="00061782" w:rsidRPr="00B47AC9" w:rsidRDefault="001A1FBA" w:rsidP="001A1FBA">
            <w:pPr>
              <w:pStyle w:val="NoSpacing"/>
              <w:numPr>
                <w:ilvl w:val="0"/>
                <w:numId w:val="18"/>
              </w:numPr>
              <w:spacing w:line="276" w:lineRule="auto"/>
              <w:jc w:val="both"/>
              <w:rPr>
                <w:rFonts w:asciiTheme="minorHAnsi" w:hAnsiTheme="minorHAnsi" w:cstheme="minorHAnsi"/>
                <w:sz w:val="20"/>
                <w:szCs w:val="20"/>
              </w:rPr>
            </w:pPr>
            <w:r w:rsidRPr="001A1FBA">
              <w:rPr>
                <w:rFonts w:asciiTheme="minorHAnsi" w:hAnsiTheme="minorHAnsi" w:cstheme="minorHAnsi"/>
                <w:sz w:val="20"/>
                <w:szCs w:val="20"/>
              </w:rPr>
              <w:t xml:space="preserve">Resilience Activities:  The ETC and its partners will work with governments to assess communications network and response resilience status and needs, then help develop capacity where needed, compiling existing efforts and building Tools (which could include a Menu of Services, Best practices, SOP’s, Training, Capacity Building exercises) that can address the range of communications network and response resilience needs.  </w:t>
            </w:r>
          </w:p>
        </w:tc>
      </w:tr>
      <w:tr w:rsidR="001A1FBA" w:rsidRPr="00B47AC9" w:rsidTr="00CF0A27">
        <w:tc>
          <w:tcPr>
            <w:tcW w:w="1541" w:type="dxa"/>
          </w:tcPr>
          <w:p w:rsidR="001A1FBA" w:rsidRPr="00B47AC9" w:rsidRDefault="001A1FBA" w:rsidP="00665B4D">
            <w:pPr>
              <w:pStyle w:val="NoSpacing"/>
              <w:spacing w:line="276" w:lineRule="auto"/>
              <w:jc w:val="both"/>
              <w:rPr>
                <w:rFonts w:asciiTheme="minorHAnsi" w:hAnsiTheme="minorHAnsi" w:cstheme="minorHAnsi"/>
                <w:b/>
                <w:sz w:val="20"/>
                <w:szCs w:val="20"/>
              </w:rPr>
            </w:pPr>
          </w:p>
        </w:tc>
        <w:tc>
          <w:tcPr>
            <w:tcW w:w="8196" w:type="dxa"/>
            <w:gridSpan w:val="4"/>
          </w:tcPr>
          <w:p w:rsidR="001A1FBA" w:rsidRPr="00B47AC9" w:rsidRDefault="001A1FBA" w:rsidP="001A1FBA">
            <w:pPr>
              <w:pStyle w:val="NoSpacing"/>
              <w:numPr>
                <w:ilvl w:val="0"/>
                <w:numId w:val="18"/>
              </w:numPr>
              <w:spacing w:line="276" w:lineRule="auto"/>
              <w:jc w:val="both"/>
              <w:rPr>
                <w:rFonts w:asciiTheme="minorHAnsi" w:hAnsiTheme="minorHAnsi" w:cstheme="minorHAnsi"/>
                <w:sz w:val="20"/>
                <w:szCs w:val="20"/>
              </w:rPr>
            </w:pPr>
            <w:r w:rsidRPr="001A1FBA">
              <w:rPr>
                <w:rFonts w:asciiTheme="minorHAnsi" w:hAnsiTheme="minorHAnsi" w:cstheme="minorHAnsi"/>
                <w:sz w:val="20"/>
                <w:szCs w:val="20"/>
              </w:rPr>
              <w:t>Knowledge Management:  To build on and leverage expertise, the Cluster will identify, compile, develop and maintain  key contacts, existing efforts, lessons learned, relevant policies, tools, and best practices that will be accessible and shared widely.</w:t>
            </w:r>
          </w:p>
        </w:tc>
      </w:tr>
      <w:tr w:rsidR="001A1FBA" w:rsidRPr="00B47AC9" w:rsidTr="00CF0A27">
        <w:tc>
          <w:tcPr>
            <w:tcW w:w="1541" w:type="dxa"/>
          </w:tcPr>
          <w:p w:rsidR="001A1FBA" w:rsidRPr="00B47AC9" w:rsidRDefault="001A1FBA" w:rsidP="00665B4D">
            <w:pPr>
              <w:pStyle w:val="NoSpacing"/>
              <w:spacing w:line="276" w:lineRule="auto"/>
              <w:jc w:val="both"/>
              <w:rPr>
                <w:rFonts w:asciiTheme="minorHAnsi" w:hAnsiTheme="minorHAnsi" w:cstheme="minorHAnsi"/>
                <w:b/>
                <w:sz w:val="20"/>
                <w:szCs w:val="20"/>
              </w:rPr>
            </w:pPr>
          </w:p>
        </w:tc>
        <w:tc>
          <w:tcPr>
            <w:tcW w:w="8196" w:type="dxa"/>
            <w:gridSpan w:val="4"/>
          </w:tcPr>
          <w:p w:rsidR="001A1FBA" w:rsidRPr="00E9375A" w:rsidRDefault="007E46E7" w:rsidP="008839DA">
            <w:pPr>
              <w:pStyle w:val="NoSpacing"/>
              <w:numPr>
                <w:ilvl w:val="0"/>
                <w:numId w:val="18"/>
              </w:numPr>
              <w:spacing w:line="276" w:lineRule="auto"/>
              <w:jc w:val="both"/>
              <w:rPr>
                <w:rFonts w:asciiTheme="minorHAnsi" w:hAnsiTheme="minorHAnsi" w:cstheme="minorHAnsi"/>
                <w:i/>
                <w:sz w:val="20"/>
                <w:szCs w:val="20"/>
              </w:rPr>
            </w:pPr>
            <w:r w:rsidRPr="00C075AF">
              <w:rPr>
                <w:rFonts w:asciiTheme="minorHAnsi" w:hAnsiTheme="minorHAnsi" w:cstheme="minorHAnsi"/>
                <w:i/>
                <w:sz w:val="20"/>
                <w:szCs w:val="20"/>
              </w:rPr>
              <w:t>Response was discussed as a potential focus area but was later removed as the group sees</w:t>
            </w:r>
            <w:r w:rsidR="008839DA">
              <w:rPr>
                <w:rFonts w:asciiTheme="minorHAnsi" w:hAnsiTheme="minorHAnsi" w:cstheme="minorHAnsi"/>
                <w:i/>
                <w:sz w:val="20"/>
                <w:szCs w:val="20"/>
              </w:rPr>
              <w:t xml:space="preserve"> the exercise of “Working with Governments to Build Resilience” as </w:t>
            </w:r>
            <w:proofErr w:type="gramStart"/>
            <w:r w:rsidR="008839DA">
              <w:rPr>
                <w:rFonts w:asciiTheme="minorHAnsi" w:hAnsiTheme="minorHAnsi" w:cstheme="minorHAnsi"/>
                <w:i/>
                <w:sz w:val="20"/>
                <w:szCs w:val="20"/>
              </w:rPr>
              <w:t xml:space="preserve">being </w:t>
            </w:r>
            <w:r w:rsidRPr="00C075AF">
              <w:rPr>
                <w:rFonts w:asciiTheme="minorHAnsi" w:hAnsiTheme="minorHAnsi" w:cstheme="minorHAnsi"/>
                <w:i/>
                <w:sz w:val="20"/>
                <w:szCs w:val="20"/>
              </w:rPr>
              <w:t xml:space="preserve"> Preparedness</w:t>
            </w:r>
            <w:proofErr w:type="gramEnd"/>
            <w:r w:rsidR="008839DA">
              <w:rPr>
                <w:rFonts w:asciiTheme="minorHAnsi" w:hAnsiTheme="minorHAnsi" w:cstheme="minorHAnsi"/>
                <w:i/>
                <w:sz w:val="20"/>
                <w:szCs w:val="20"/>
              </w:rPr>
              <w:t xml:space="preserve"> focused</w:t>
            </w:r>
            <w:r w:rsidRPr="00C075AF">
              <w:rPr>
                <w:rFonts w:asciiTheme="minorHAnsi" w:hAnsiTheme="minorHAnsi" w:cstheme="minorHAnsi"/>
                <w:i/>
                <w:sz w:val="20"/>
                <w:szCs w:val="20"/>
              </w:rPr>
              <w:t xml:space="preserve">. </w:t>
            </w:r>
          </w:p>
        </w:tc>
      </w:tr>
      <w:tr w:rsidR="00E0107C" w:rsidRPr="00B47AC9" w:rsidTr="00CF0A27">
        <w:tc>
          <w:tcPr>
            <w:tcW w:w="1541" w:type="dxa"/>
            <w:vMerge w:val="restart"/>
          </w:tcPr>
          <w:p w:rsidR="00E0107C" w:rsidRPr="00B47AC9" w:rsidRDefault="00E0107C"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Major Deliverables:</w:t>
            </w:r>
          </w:p>
        </w:tc>
        <w:tc>
          <w:tcPr>
            <w:tcW w:w="4214" w:type="dxa"/>
            <w:gridSpan w:val="3"/>
          </w:tcPr>
          <w:p w:rsidR="00E0107C" w:rsidRPr="00B47AC9" w:rsidRDefault="00E0107C"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Deliverables</w:t>
            </w:r>
          </w:p>
        </w:tc>
        <w:tc>
          <w:tcPr>
            <w:tcW w:w="3982" w:type="dxa"/>
          </w:tcPr>
          <w:p w:rsidR="00E0107C" w:rsidRPr="00B47AC9" w:rsidRDefault="00E0107C"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Quick Wins</w:t>
            </w:r>
          </w:p>
        </w:tc>
      </w:tr>
      <w:tr w:rsidR="00E0107C" w:rsidRPr="00B47AC9" w:rsidTr="00CF0A27">
        <w:trPr>
          <w:trHeight w:val="685"/>
        </w:trPr>
        <w:tc>
          <w:tcPr>
            <w:tcW w:w="1541" w:type="dxa"/>
            <w:vMerge/>
          </w:tcPr>
          <w:p w:rsidR="00E0107C" w:rsidRPr="00B47AC9" w:rsidRDefault="00E0107C" w:rsidP="00665B4D">
            <w:pPr>
              <w:pStyle w:val="NoSpacing"/>
              <w:spacing w:line="276" w:lineRule="auto"/>
              <w:jc w:val="both"/>
              <w:rPr>
                <w:rFonts w:asciiTheme="minorHAnsi" w:hAnsiTheme="minorHAnsi" w:cstheme="minorHAnsi"/>
                <w:b/>
                <w:sz w:val="20"/>
                <w:szCs w:val="20"/>
              </w:rPr>
            </w:pPr>
          </w:p>
        </w:tc>
        <w:tc>
          <w:tcPr>
            <w:tcW w:w="4214" w:type="dxa"/>
            <w:gridSpan w:val="3"/>
            <w:vMerge w:val="restart"/>
          </w:tcPr>
          <w:p w:rsidR="00E0107C" w:rsidRPr="00024A15" w:rsidRDefault="00E0107C" w:rsidP="00665B4D">
            <w:pPr>
              <w:pStyle w:val="NoSpacing"/>
              <w:numPr>
                <w:ilvl w:val="0"/>
                <w:numId w:val="20"/>
              </w:numPr>
              <w:spacing w:line="276" w:lineRule="auto"/>
              <w:jc w:val="both"/>
              <w:rPr>
                <w:rFonts w:asciiTheme="minorHAnsi" w:hAnsiTheme="minorHAnsi" w:cstheme="minorHAnsi"/>
                <w:sz w:val="20"/>
                <w:szCs w:val="20"/>
              </w:rPr>
            </w:pPr>
          </w:p>
        </w:tc>
        <w:tc>
          <w:tcPr>
            <w:tcW w:w="3982" w:type="dxa"/>
          </w:tcPr>
          <w:p w:rsidR="00CA24F0" w:rsidRPr="00024A15" w:rsidRDefault="00CA24F0" w:rsidP="00665B4D">
            <w:pPr>
              <w:pStyle w:val="NoSpacing"/>
              <w:numPr>
                <w:ilvl w:val="0"/>
                <w:numId w:val="20"/>
              </w:numPr>
              <w:spacing w:line="276" w:lineRule="auto"/>
              <w:jc w:val="both"/>
              <w:rPr>
                <w:rFonts w:asciiTheme="minorHAnsi" w:hAnsiTheme="minorHAnsi" w:cstheme="minorHAnsi"/>
                <w:color w:val="0066FF"/>
                <w:sz w:val="20"/>
                <w:szCs w:val="20"/>
              </w:rPr>
            </w:pPr>
          </w:p>
        </w:tc>
      </w:tr>
      <w:tr w:rsidR="00E0107C" w:rsidRPr="00B47AC9" w:rsidTr="00CF0A27">
        <w:trPr>
          <w:trHeight w:val="233"/>
        </w:trPr>
        <w:tc>
          <w:tcPr>
            <w:tcW w:w="1541" w:type="dxa"/>
            <w:vMerge/>
          </w:tcPr>
          <w:p w:rsidR="00E0107C" w:rsidRPr="00B47AC9" w:rsidRDefault="00E0107C" w:rsidP="00665B4D">
            <w:pPr>
              <w:pStyle w:val="NoSpacing"/>
              <w:spacing w:line="276" w:lineRule="auto"/>
              <w:jc w:val="both"/>
              <w:rPr>
                <w:rFonts w:asciiTheme="minorHAnsi" w:hAnsiTheme="minorHAnsi" w:cstheme="minorHAnsi"/>
                <w:b/>
                <w:sz w:val="20"/>
                <w:szCs w:val="20"/>
              </w:rPr>
            </w:pPr>
          </w:p>
        </w:tc>
        <w:tc>
          <w:tcPr>
            <w:tcW w:w="4214" w:type="dxa"/>
            <w:gridSpan w:val="3"/>
            <w:vMerge/>
          </w:tcPr>
          <w:p w:rsidR="00E0107C" w:rsidRPr="00B47AC9" w:rsidRDefault="00E0107C" w:rsidP="00665B4D">
            <w:pPr>
              <w:pStyle w:val="NoSpacing"/>
              <w:numPr>
                <w:ilvl w:val="0"/>
                <w:numId w:val="20"/>
              </w:numPr>
              <w:spacing w:line="276" w:lineRule="auto"/>
              <w:jc w:val="both"/>
              <w:rPr>
                <w:rFonts w:asciiTheme="minorHAnsi" w:hAnsiTheme="minorHAnsi" w:cstheme="minorHAnsi"/>
                <w:color w:val="0066FF"/>
                <w:sz w:val="20"/>
                <w:szCs w:val="20"/>
              </w:rPr>
            </w:pPr>
          </w:p>
        </w:tc>
        <w:tc>
          <w:tcPr>
            <w:tcW w:w="3982" w:type="dxa"/>
          </w:tcPr>
          <w:p w:rsidR="00E0107C" w:rsidRPr="00B47AC9" w:rsidRDefault="00E0107C" w:rsidP="00665B4D">
            <w:pPr>
              <w:pStyle w:val="NoSpacing"/>
              <w:spacing w:line="276" w:lineRule="auto"/>
              <w:jc w:val="both"/>
              <w:rPr>
                <w:rFonts w:asciiTheme="minorHAnsi" w:hAnsiTheme="minorHAnsi" w:cstheme="minorHAnsi"/>
                <w:sz w:val="20"/>
                <w:szCs w:val="20"/>
              </w:rPr>
            </w:pPr>
            <w:r w:rsidRPr="00B47AC9">
              <w:rPr>
                <w:rFonts w:asciiTheme="minorHAnsi" w:hAnsiTheme="minorHAnsi" w:cstheme="minorHAnsi"/>
                <w:b/>
                <w:sz w:val="20"/>
                <w:szCs w:val="20"/>
              </w:rPr>
              <w:t>Pilots</w:t>
            </w:r>
          </w:p>
        </w:tc>
      </w:tr>
      <w:tr w:rsidR="00E0107C" w:rsidRPr="00B47AC9" w:rsidTr="00CF0A27">
        <w:trPr>
          <w:trHeight w:val="683"/>
        </w:trPr>
        <w:tc>
          <w:tcPr>
            <w:tcW w:w="1541" w:type="dxa"/>
            <w:vMerge/>
          </w:tcPr>
          <w:p w:rsidR="00E0107C" w:rsidRPr="00B47AC9" w:rsidRDefault="00E0107C" w:rsidP="00665B4D">
            <w:pPr>
              <w:pStyle w:val="NoSpacing"/>
              <w:spacing w:line="276" w:lineRule="auto"/>
              <w:jc w:val="both"/>
              <w:rPr>
                <w:rFonts w:asciiTheme="minorHAnsi" w:hAnsiTheme="minorHAnsi" w:cstheme="minorHAnsi"/>
                <w:b/>
                <w:sz w:val="20"/>
                <w:szCs w:val="20"/>
              </w:rPr>
            </w:pPr>
          </w:p>
        </w:tc>
        <w:tc>
          <w:tcPr>
            <w:tcW w:w="4214" w:type="dxa"/>
            <w:gridSpan w:val="3"/>
            <w:vMerge/>
          </w:tcPr>
          <w:p w:rsidR="00E0107C" w:rsidRPr="00B47AC9" w:rsidRDefault="00E0107C" w:rsidP="00665B4D">
            <w:pPr>
              <w:pStyle w:val="NoSpacing"/>
              <w:numPr>
                <w:ilvl w:val="0"/>
                <w:numId w:val="20"/>
              </w:numPr>
              <w:spacing w:line="276" w:lineRule="auto"/>
              <w:jc w:val="both"/>
              <w:rPr>
                <w:rFonts w:asciiTheme="minorHAnsi" w:hAnsiTheme="minorHAnsi" w:cstheme="minorHAnsi"/>
                <w:color w:val="0066FF"/>
                <w:sz w:val="20"/>
                <w:szCs w:val="20"/>
              </w:rPr>
            </w:pPr>
          </w:p>
        </w:tc>
        <w:tc>
          <w:tcPr>
            <w:tcW w:w="3982" w:type="dxa"/>
          </w:tcPr>
          <w:p w:rsidR="00E0107C" w:rsidRPr="00024A15" w:rsidRDefault="00E0107C" w:rsidP="00665B4D">
            <w:pPr>
              <w:pStyle w:val="NoSpacing"/>
              <w:numPr>
                <w:ilvl w:val="0"/>
                <w:numId w:val="20"/>
              </w:numPr>
              <w:spacing w:line="276" w:lineRule="auto"/>
              <w:jc w:val="both"/>
              <w:rPr>
                <w:rFonts w:asciiTheme="minorHAnsi" w:hAnsiTheme="minorHAnsi" w:cstheme="minorHAnsi"/>
                <w:i/>
                <w:color w:val="0066FF"/>
                <w:sz w:val="20"/>
                <w:szCs w:val="20"/>
              </w:rPr>
            </w:pPr>
          </w:p>
        </w:tc>
      </w:tr>
      <w:tr w:rsidR="00061782" w:rsidRPr="00B47AC9" w:rsidTr="00CF0A27">
        <w:tc>
          <w:tcPr>
            <w:tcW w:w="1541" w:type="dxa"/>
            <w:vMerge w:val="restart"/>
          </w:tcPr>
          <w:p w:rsidR="00061782" w:rsidRPr="00B47AC9" w:rsidRDefault="00061782"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Resources:</w:t>
            </w:r>
          </w:p>
        </w:tc>
        <w:tc>
          <w:tcPr>
            <w:tcW w:w="1157" w:type="dxa"/>
          </w:tcPr>
          <w:p w:rsidR="00061782" w:rsidRPr="00B47AC9" w:rsidRDefault="00061782" w:rsidP="00665B4D">
            <w:pPr>
              <w:pStyle w:val="NoSpacing"/>
              <w:spacing w:line="276" w:lineRule="auto"/>
              <w:jc w:val="both"/>
              <w:rPr>
                <w:rFonts w:asciiTheme="minorHAnsi" w:hAnsiTheme="minorHAnsi" w:cstheme="minorHAnsi"/>
                <w:sz w:val="20"/>
                <w:szCs w:val="20"/>
              </w:rPr>
            </w:pPr>
            <w:r w:rsidRPr="00B47AC9">
              <w:rPr>
                <w:rFonts w:asciiTheme="minorHAnsi" w:hAnsiTheme="minorHAnsi" w:cstheme="minorHAnsi"/>
                <w:b/>
                <w:sz w:val="20"/>
                <w:szCs w:val="20"/>
              </w:rPr>
              <w:t>People</w:t>
            </w:r>
            <w:r w:rsidRPr="00B47AC9">
              <w:rPr>
                <w:rFonts w:asciiTheme="minorHAnsi" w:hAnsiTheme="minorHAnsi" w:cstheme="minorHAnsi"/>
                <w:sz w:val="20"/>
                <w:szCs w:val="20"/>
              </w:rPr>
              <w:t>:</w:t>
            </w:r>
          </w:p>
        </w:tc>
        <w:tc>
          <w:tcPr>
            <w:tcW w:w="7039" w:type="dxa"/>
            <w:gridSpan w:val="3"/>
          </w:tcPr>
          <w:p w:rsidR="00CF0A27" w:rsidRPr="00202202" w:rsidRDefault="00CF0A27" w:rsidP="00665B4D">
            <w:pPr>
              <w:pStyle w:val="NoSpacing"/>
              <w:numPr>
                <w:ilvl w:val="0"/>
                <w:numId w:val="20"/>
              </w:numPr>
              <w:spacing w:line="276" w:lineRule="auto"/>
              <w:jc w:val="both"/>
              <w:rPr>
                <w:rFonts w:asciiTheme="minorHAnsi" w:hAnsiTheme="minorHAnsi" w:cstheme="minorHAnsi"/>
                <w:i/>
                <w:color w:val="0066FF"/>
                <w:sz w:val="20"/>
                <w:szCs w:val="20"/>
              </w:rPr>
            </w:pPr>
          </w:p>
        </w:tc>
      </w:tr>
      <w:tr w:rsidR="00061782" w:rsidRPr="00B47AC9" w:rsidTr="00CF0A27">
        <w:tc>
          <w:tcPr>
            <w:tcW w:w="1541" w:type="dxa"/>
            <w:vMerge/>
          </w:tcPr>
          <w:p w:rsidR="00061782" w:rsidRPr="00B47AC9" w:rsidRDefault="00061782" w:rsidP="00665B4D">
            <w:pPr>
              <w:pStyle w:val="NoSpacing"/>
              <w:spacing w:line="276" w:lineRule="auto"/>
              <w:jc w:val="both"/>
              <w:rPr>
                <w:rFonts w:asciiTheme="minorHAnsi" w:hAnsiTheme="minorHAnsi" w:cstheme="minorHAnsi"/>
                <w:b/>
                <w:sz w:val="20"/>
                <w:szCs w:val="20"/>
              </w:rPr>
            </w:pPr>
          </w:p>
        </w:tc>
        <w:tc>
          <w:tcPr>
            <w:tcW w:w="1157" w:type="dxa"/>
          </w:tcPr>
          <w:p w:rsidR="00061782" w:rsidRPr="00B47AC9" w:rsidRDefault="00061782"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Funding</w:t>
            </w:r>
            <w:r w:rsidRPr="00B47AC9">
              <w:rPr>
                <w:rFonts w:asciiTheme="minorHAnsi" w:hAnsiTheme="minorHAnsi" w:cstheme="minorHAnsi"/>
                <w:sz w:val="20"/>
                <w:szCs w:val="20"/>
              </w:rPr>
              <w:t>:</w:t>
            </w:r>
          </w:p>
        </w:tc>
        <w:tc>
          <w:tcPr>
            <w:tcW w:w="7039" w:type="dxa"/>
            <w:gridSpan w:val="3"/>
          </w:tcPr>
          <w:p w:rsidR="00015B48" w:rsidRPr="00202202" w:rsidRDefault="00015B48" w:rsidP="00665B4D">
            <w:pPr>
              <w:pStyle w:val="NoSpacing"/>
              <w:numPr>
                <w:ilvl w:val="0"/>
                <w:numId w:val="21"/>
              </w:numPr>
              <w:spacing w:line="276" w:lineRule="auto"/>
              <w:jc w:val="both"/>
              <w:rPr>
                <w:rFonts w:asciiTheme="minorHAnsi" w:hAnsiTheme="minorHAnsi" w:cstheme="minorHAnsi"/>
                <w:i/>
                <w:color w:val="0066FF"/>
                <w:sz w:val="20"/>
                <w:szCs w:val="20"/>
              </w:rPr>
            </w:pPr>
          </w:p>
        </w:tc>
      </w:tr>
      <w:tr w:rsidR="00061782" w:rsidRPr="00B47AC9" w:rsidTr="00CF0A27">
        <w:tc>
          <w:tcPr>
            <w:tcW w:w="1541" w:type="dxa"/>
            <w:vMerge/>
          </w:tcPr>
          <w:p w:rsidR="00061782" w:rsidRPr="00B47AC9" w:rsidRDefault="00061782" w:rsidP="00665B4D">
            <w:pPr>
              <w:pStyle w:val="NoSpacing"/>
              <w:spacing w:line="276" w:lineRule="auto"/>
              <w:jc w:val="both"/>
              <w:rPr>
                <w:rFonts w:asciiTheme="minorHAnsi" w:hAnsiTheme="minorHAnsi" w:cstheme="minorHAnsi"/>
                <w:b/>
                <w:sz w:val="20"/>
                <w:szCs w:val="20"/>
              </w:rPr>
            </w:pPr>
          </w:p>
        </w:tc>
        <w:tc>
          <w:tcPr>
            <w:tcW w:w="1157" w:type="dxa"/>
          </w:tcPr>
          <w:p w:rsidR="00061782" w:rsidRPr="00B47AC9" w:rsidRDefault="00061782"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Partners:</w:t>
            </w:r>
          </w:p>
        </w:tc>
        <w:tc>
          <w:tcPr>
            <w:tcW w:w="7039" w:type="dxa"/>
            <w:gridSpan w:val="3"/>
          </w:tcPr>
          <w:p w:rsidR="00CF0A27" w:rsidRPr="00202202" w:rsidRDefault="00CF0A27" w:rsidP="00665B4D">
            <w:pPr>
              <w:pStyle w:val="NoSpacing"/>
              <w:numPr>
                <w:ilvl w:val="0"/>
                <w:numId w:val="22"/>
              </w:numPr>
              <w:spacing w:line="276" w:lineRule="auto"/>
              <w:jc w:val="both"/>
              <w:rPr>
                <w:rFonts w:asciiTheme="minorHAnsi" w:hAnsiTheme="minorHAnsi" w:cstheme="minorHAnsi"/>
                <w:i/>
                <w:color w:val="0066FF"/>
                <w:sz w:val="20"/>
                <w:szCs w:val="20"/>
              </w:rPr>
            </w:pPr>
          </w:p>
        </w:tc>
      </w:tr>
      <w:tr w:rsidR="00CF0A27" w:rsidRPr="00B47AC9" w:rsidTr="00CF0A27">
        <w:tc>
          <w:tcPr>
            <w:tcW w:w="1541" w:type="dxa"/>
            <w:vMerge w:val="restart"/>
          </w:tcPr>
          <w:p w:rsidR="00CF0A27" w:rsidRPr="00B47AC9" w:rsidRDefault="00CF0A27"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Risks:</w:t>
            </w:r>
          </w:p>
        </w:tc>
        <w:tc>
          <w:tcPr>
            <w:tcW w:w="2684" w:type="dxa"/>
            <w:gridSpan w:val="2"/>
          </w:tcPr>
          <w:p w:rsidR="00CF0A27" w:rsidRPr="00B47AC9" w:rsidRDefault="00CF0A27"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Risk</w:t>
            </w:r>
          </w:p>
        </w:tc>
        <w:tc>
          <w:tcPr>
            <w:tcW w:w="5512" w:type="dxa"/>
            <w:gridSpan w:val="2"/>
          </w:tcPr>
          <w:p w:rsidR="00CF0A27" w:rsidRPr="00B47AC9" w:rsidRDefault="00CF0A27"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Mitigation Strategy</w:t>
            </w:r>
          </w:p>
        </w:tc>
      </w:tr>
      <w:tr w:rsidR="00CF0A27" w:rsidRPr="00B47AC9" w:rsidTr="00CF0A27">
        <w:tc>
          <w:tcPr>
            <w:tcW w:w="1541" w:type="dxa"/>
            <w:vMerge/>
          </w:tcPr>
          <w:p w:rsidR="00CF0A27" w:rsidRPr="00B47AC9" w:rsidRDefault="00CF0A27" w:rsidP="00665B4D">
            <w:pPr>
              <w:pStyle w:val="NoSpacing"/>
              <w:spacing w:line="276" w:lineRule="auto"/>
              <w:jc w:val="both"/>
              <w:rPr>
                <w:rFonts w:asciiTheme="minorHAnsi" w:hAnsiTheme="minorHAnsi" w:cstheme="minorHAnsi"/>
                <w:sz w:val="20"/>
                <w:szCs w:val="20"/>
              </w:rPr>
            </w:pPr>
          </w:p>
        </w:tc>
        <w:tc>
          <w:tcPr>
            <w:tcW w:w="2684" w:type="dxa"/>
            <w:gridSpan w:val="2"/>
          </w:tcPr>
          <w:p w:rsidR="00CF0A27" w:rsidRPr="00024A15" w:rsidRDefault="00CF0A27" w:rsidP="00665B4D">
            <w:pPr>
              <w:pStyle w:val="NoSpacing"/>
              <w:numPr>
                <w:ilvl w:val="0"/>
                <w:numId w:val="20"/>
              </w:numPr>
              <w:spacing w:line="276" w:lineRule="auto"/>
              <w:jc w:val="both"/>
              <w:rPr>
                <w:rFonts w:asciiTheme="minorHAnsi" w:hAnsiTheme="minorHAnsi" w:cstheme="minorHAnsi"/>
                <w:color w:val="0066FF"/>
                <w:sz w:val="20"/>
                <w:szCs w:val="20"/>
              </w:rPr>
            </w:pPr>
          </w:p>
        </w:tc>
        <w:tc>
          <w:tcPr>
            <w:tcW w:w="5512" w:type="dxa"/>
            <w:gridSpan w:val="2"/>
          </w:tcPr>
          <w:p w:rsidR="00CF0A27" w:rsidRPr="00024A15" w:rsidRDefault="00CF0A27" w:rsidP="00665B4D">
            <w:pPr>
              <w:pStyle w:val="NoSpacing"/>
              <w:numPr>
                <w:ilvl w:val="0"/>
                <w:numId w:val="20"/>
              </w:numPr>
              <w:spacing w:line="276" w:lineRule="auto"/>
              <w:jc w:val="both"/>
              <w:rPr>
                <w:rFonts w:asciiTheme="minorHAnsi" w:hAnsiTheme="minorHAnsi" w:cstheme="minorHAnsi"/>
                <w:color w:val="0066FF"/>
                <w:sz w:val="20"/>
                <w:szCs w:val="20"/>
              </w:rPr>
            </w:pPr>
          </w:p>
        </w:tc>
      </w:tr>
      <w:tr w:rsidR="00CF0A27" w:rsidRPr="00B47AC9" w:rsidTr="00CF0A27">
        <w:tc>
          <w:tcPr>
            <w:tcW w:w="1541" w:type="dxa"/>
            <w:vMerge/>
          </w:tcPr>
          <w:p w:rsidR="00CF0A27" w:rsidRPr="00B47AC9" w:rsidRDefault="00CF0A27" w:rsidP="00665B4D">
            <w:pPr>
              <w:pStyle w:val="NoSpacing"/>
              <w:spacing w:line="276" w:lineRule="auto"/>
              <w:jc w:val="both"/>
              <w:rPr>
                <w:rFonts w:asciiTheme="minorHAnsi" w:hAnsiTheme="minorHAnsi" w:cstheme="minorHAnsi"/>
                <w:sz w:val="20"/>
                <w:szCs w:val="20"/>
              </w:rPr>
            </w:pPr>
          </w:p>
        </w:tc>
        <w:tc>
          <w:tcPr>
            <w:tcW w:w="2684" w:type="dxa"/>
            <w:gridSpan w:val="2"/>
          </w:tcPr>
          <w:p w:rsidR="00CF0A27" w:rsidRPr="00024A15" w:rsidRDefault="00CF0A27" w:rsidP="00665B4D">
            <w:pPr>
              <w:pStyle w:val="NoSpacing"/>
              <w:numPr>
                <w:ilvl w:val="0"/>
                <w:numId w:val="20"/>
              </w:numPr>
              <w:spacing w:line="276" w:lineRule="auto"/>
              <w:jc w:val="both"/>
              <w:rPr>
                <w:rFonts w:asciiTheme="minorHAnsi" w:hAnsiTheme="minorHAnsi" w:cstheme="minorHAnsi"/>
                <w:color w:val="0066FF"/>
                <w:sz w:val="20"/>
                <w:szCs w:val="20"/>
              </w:rPr>
            </w:pPr>
          </w:p>
        </w:tc>
        <w:tc>
          <w:tcPr>
            <w:tcW w:w="5512" w:type="dxa"/>
            <w:gridSpan w:val="2"/>
          </w:tcPr>
          <w:p w:rsidR="00CF0A27" w:rsidRPr="00024A15" w:rsidRDefault="00CF0A27" w:rsidP="00665B4D">
            <w:pPr>
              <w:pStyle w:val="NoSpacing"/>
              <w:numPr>
                <w:ilvl w:val="0"/>
                <w:numId w:val="20"/>
              </w:numPr>
              <w:spacing w:line="276" w:lineRule="auto"/>
              <w:jc w:val="both"/>
              <w:rPr>
                <w:rFonts w:asciiTheme="minorHAnsi" w:hAnsiTheme="minorHAnsi" w:cstheme="minorHAnsi"/>
                <w:color w:val="0066FF"/>
                <w:sz w:val="20"/>
                <w:szCs w:val="20"/>
              </w:rPr>
            </w:pPr>
          </w:p>
        </w:tc>
      </w:tr>
    </w:tbl>
    <w:p w:rsidR="007C71E9" w:rsidRDefault="007C71E9" w:rsidP="00665B4D">
      <w:pPr>
        <w:pStyle w:val="NoSpacing"/>
        <w:spacing w:line="276" w:lineRule="auto"/>
        <w:jc w:val="both"/>
        <w:rPr>
          <w:sz w:val="20"/>
          <w:szCs w:val="24"/>
        </w:rPr>
      </w:pPr>
    </w:p>
    <w:sectPr w:rsidR="007C71E9" w:rsidSect="00A96534">
      <w:headerReference w:type="default" r:id="rId10"/>
      <w:footerReference w:type="default" r:id="rId11"/>
      <w:headerReference w:type="first" r:id="rId12"/>
      <w:footerReference w:type="first" r:id="rId13"/>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43" w:rsidRDefault="00CF0743" w:rsidP="00665B4D">
      <w:r>
        <w:separator/>
      </w:r>
    </w:p>
  </w:endnote>
  <w:endnote w:type="continuationSeparator" w:id="0">
    <w:p w:rsidR="00CF0743" w:rsidRDefault="00CF0743" w:rsidP="0066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E2" w:rsidRPr="00CA2FE2" w:rsidRDefault="00CA2FE2" w:rsidP="00CA2FE2">
    <w:pPr>
      <w:pStyle w:val="NoSpacing"/>
      <w:rPr>
        <w:rFonts w:ascii="Arial" w:hAnsi="Arial" w:cs="Arial"/>
      </w:rPr>
    </w:pPr>
  </w:p>
  <w:p w:rsidR="00CA2FE2" w:rsidRPr="00CA2FE2" w:rsidRDefault="00CA2FE2" w:rsidP="00CA2FE2">
    <w:pPr>
      <w:pStyle w:val="NoSpacing"/>
      <w:pBdr>
        <w:top w:val="single" w:sz="8" w:space="1" w:color="F58220"/>
      </w:pBdr>
      <w:rPr>
        <w:rFonts w:ascii="Arial" w:hAnsi="Arial" w:cs="Arial"/>
        <w:sz w:val="10"/>
        <w:szCs w:val="10"/>
      </w:rPr>
    </w:pPr>
  </w:p>
  <w:p w:rsidR="00CA2FE2" w:rsidRPr="00CA2FE2" w:rsidRDefault="00CA2FE2" w:rsidP="00CA2FE2">
    <w:pPr>
      <w:pStyle w:val="Footer"/>
      <w:tabs>
        <w:tab w:val="right" w:pos="9072"/>
      </w:tabs>
      <w:rPr>
        <w:rFonts w:ascii="Arial" w:hAnsi="Arial" w:cs="Arial"/>
        <w:sz w:val="16"/>
        <w:szCs w:val="16"/>
      </w:rPr>
    </w:pPr>
    <w:r w:rsidRPr="00CA2FE2">
      <w:rPr>
        <w:rFonts w:ascii="Arial" w:hAnsi="Arial" w:cs="Arial"/>
        <w:sz w:val="16"/>
        <w:szCs w:val="16"/>
      </w:rPr>
      <w:t xml:space="preserve">Page </w:t>
    </w:r>
    <w:r w:rsidRPr="00CA2FE2">
      <w:rPr>
        <w:rFonts w:ascii="Arial" w:hAnsi="Arial" w:cs="Arial"/>
        <w:sz w:val="16"/>
        <w:szCs w:val="16"/>
      </w:rPr>
      <w:fldChar w:fldCharType="begin"/>
    </w:r>
    <w:r w:rsidRPr="00CA2FE2">
      <w:rPr>
        <w:rFonts w:ascii="Arial" w:hAnsi="Arial" w:cs="Arial"/>
        <w:sz w:val="16"/>
        <w:szCs w:val="16"/>
      </w:rPr>
      <w:instrText xml:space="preserve"> PAGE </w:instrText>
    </w:r>
    <w:r w:rsidRPr="00CA2FE2">
      <w:rPr>
        <w:rFonts w:ascii="Arial" w:hAnsi="Arial" w:cs="Arial"/>
        <w:sz w:val="16"/>
        <w:szCs w:val="16"/>
      </w:rPr>
      <w:fldChar w:fldCharType="separate"/>
    </w:r>
    <w:r w:rsidR="00AB6878">
      <w:rPr>
        <w:rFonts w:ascii="Arial" w:hAnsi="Arial" w:cs="Arial"/>
        <w:noProof/>
        <w:sz w:val="16"/>
        <w:szCs w:val="16"/>
      </w:rPr>
      <w:t>2</w:t>
    </w:r>
    <w:r w:rsidRPr="00CA2FE2">
      <w:rPr>
        <w:rFonts w:ascii="Arial" w:hAnsi="Arial" w:cs="Arial"/>
        <w:sz w:val="16"/>
        <w:szCs w:val="16"/>
      </w:rPr>
      <w:fldChar w:fldCharType="end"/>
    </w:r>
    <w:r w:rsidRPr="00CA2FE2">
      <w:rPr>
        <w:rFonts w:ascii="Arial" w:hAnsi="Arial" w:cs="Arial"/>
        <w:sz w:val="16"/>
        <w:szCs w:val="16"/>
      </w:rPr>
      <w:t xml:space="preserve"> of </w:t>
    </w:r>
    <w:r w:rsidRPr="00CA2FE2">
      <w:rPr>
        <w:rFonts w:ascii="Arial" w:hAnsi="Arial" w:cs="Arial"/>
        <w:sz w:val="16"/>
        <w:szCs w:val="16"/>
      </w:rPr>
      <w:fldChar w:fldCharType="begin"/>
    </w:r>
    <w:r w:rsidRPr="00CA2FE2">
      <w:rPr>
        <w:rFonts w:ascii="Arial" w:hAnsi="Arial" w:cs="Arial"/>
        <w:sz w:val="16"/>
        <w:szCs w:val="16"/>
      </w:rPr>
      <w:instrText xml:space="preserve"> NUMPAGES  </w:instrText>
    </w:r>
    <w:r w:rsidRPr="00CA2FE2">
      <w:rPr>
        <w:rFonts w:ascii="Arial" w:hAnsi="Arial" w:cs="Arial"/>
        <w:sz w:val="16"/>
        <w:szCs w:val="16"/>
      </w:rPr>
      <w:fldChar w:fldCharType="separate"/>
    </w:r>
    <w:r w:rsidR="00AB6878">
      <w:rPr>
        <w:rFonts w:ascii="Arial" w:hAnsi="Arial" w:cs="Arial"/>
        <w:noProof/>
        <w:sz w:val="16"/>
        <w:szCs w:val="16"/>
      </w:rPr>
      <w:t>2</w:t>
    </w:r>
    <w:r w:rsidRPr="00CA2FE2">
      <w:rPr>
        <w:rFonts w:ascii="Arial" w:hAnsi="Arial" w:cs="Arial"/>
        <w:sz w:val="16"/>
        <w:szCs w:val="16"/>
      </w:rPr>
      <w:fldChar w:fldCharType="end"/>
    </w:r>
  </w:p>
  <w:p w:rsidR="00CA2FE2" w:rsidRPr="00CA2FE2" w:rsidRDefault="00CA2FE2" w:rsidP="00CA2FE2">
    <w:pPr>
      <w:pStyle w:val="Footer"/>
      <w:tabs>
        <w:tab w:val="right" w:pos="9072"/>
      </w:tabs>
      <w:rPr>
        <w:rFonts w:ascii="Arial" w:hAnsi="Arial" w:cs="Arial"/>
        <w:sz w:val="16"/>
        <w:szCs w:val="16"/>
      </w:rPr>
    </w:pPr>
  </w:p>
  <w:p w:rsidR="00CA2FE2" w:rsidRPr="00CA2FE2" w:rsidRDefault="00CA2FE2" w:rsidP="00203027">
    <w:pPr>
      <w:pStyle w:val="Footer"/>
      <w:tabs>
        <w:tab w:val="right" w:pos="8931"/>
      </w:tabs>
      <w:jc w:val="center"/>
      <w:rPr>
        <w:rFonts w:ascii="Arial" w:hAnsi="Arial" w:cs="Arial"/>
        <w:b/>
        <w:bCs/>
        <w:color w:val="939598"/>
        <w:sz w:val="16"/>
        <w:szCs w:val="16"/>
      </w:rPr>
    </w:pPr>
    <w:r w:rsidRPr="00CA2FE2">
      <w:rPr>
        <w:rFonts w:ascii="Arial" w:hAnsi="Arial" w:cs="Arial"/>
        <w:b/>
        <w:bCs/>
        <w:color w:val="939598"/>
        <w:sz w:val="16"/>
        <w:szCs w:val="16"/>
      </w:rPr>
      <w:t>Emergency Telecommunications Cluster (ETC)</w:t>
    </w:r>
  </w:p>
  <w:p w:rsidR="006F6CE6" w:rsidRPr="00CA2FE2" w:rsidRDefault="00CA2FE2" w:rsidP="00CA2FE2">
    <w:pPr>
      <w:pStyle w:val="Footer"/>
      <w:tabs>
        <w:tab w:val="right" w:pos="8931"/>
      </w:tabs>
      <w:jc w:val="center"/>
      <w:rPr>
        <w:rFonts w:ascii="Arial" w:hAnsi="Arial" w:cs="Arial"/>
        <w:b/>
        <w:bCs/>
        <w:color w:val="0054A6"/>
        <w:sz w:val="16"/>
        <w:szCs w:val="16"/>
      </w:rPr>
    </w:pPr>
    <w:r w:rsidRPr="00CA2FE2">
      <w:rPr>
        <w:rFonts w:ascii="Arial" w:hAnsi="Arial" w:cs="Arial"/>
        <w:b/>
        <w:bCs/>
        <w:color w:val="0054A6"/>
        <w:sz w:val="16"/>
        <w:szCs w:val="16"/>
      </w:rPr>
      <w:t>www.ETCluster.org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E3" w:rsidRPr="00F750E3" w:rsidRDefault="00F750E3" w:rsidP="001C75ED">
    <w:pPr>
      <w:pStyle w:val="NoSpacing"/>
      <w:rPr>
        <w:rFonts w:ascii="Arial" w:hAnsi="Arial" w:cs="Arial"/>
      </w:rPr>
    </w:pPr>
  </w:p>
  <w:p w:rsidR="00F750E3" w:rsidRPr="00F750E3" w:rsidRDefault="00F750E3" w:rsidP="001C75ED">
    <w:pPr>
      <w:pStyle w:val="NoSpacing"/>
      <w:pBdr>
        <w:top w:val="single" w:sz="8" w:space="1" w:color="F58220"/>
      </w:pBdr>
      <w:rPr>
        <w:rFonts w:ascii="Arial" w:hAnsi="Arial" w:cs="Arial"/>
        <w:sz w:val="10"/>
        <w:szCs w:val="10"/>
      </w:rPr>
    </w:pPr>
  </w:p>
  <w:p w:rsidR="00F750E3" w:rsidRPr="00F750E3" w:rsidRDefault="00F750E3" w:rsidP="001C75ED">
    <w:pPr>
      <w:pStyle w:val="Footer"/>
      <w:tabs>
        <w:tab w:val="right" w:pos="9072"/>
      </w:tabs>
      <w:rPr>
        <w:rFonts w:ascii="Arial" w:hAnsi="Arial" w:cs="Arial"/>
        <w:sz w:val="16"/>
        <w:szCs w:val="16"/>
      </w:rPr>
    </w:pPr>
    <w:r w:rsidRPr="00F750E3">
      <w:rPr>
        <w:rFonts w:ascii="Arial" w:hAnsi="Arial" w:cs="Arial"/>
        <w:sz w:val="16"/>
        <w:szCs w:val="16"/>
      </w:rPr>
      <w:t xml:space="preserve">Page </w:t>
    </w:r>
    <w:r w:rsidRPr="00F750E3">
      <w:rPr>
        <w:rFonts w:ascii="Arial" w:hAnsi="Arial" w:cs="Arial"/>
        <w:sz w:val="16"/>
        <w:szCs w:val="16"/>
      </w:rPr>
      <w:fldChar w:fldCharType="begin"/>
    </w:r>
    <w:r w:rsidRPr="00F750E3">
      <w:rPr>
        <w:rFonts w:ascii="Arial" w:hAnsi="Arial" w:cs="Arial"/>
        <w:sz w:val="16"/>
        <w:szCs w:val="16"/>
      </w:rPr>
      <w:instrText xml:space="preserve"> PAGE </w:instrText>
    </w:r>
    <w:r w:rsidRPr="00F750E3">
      <w:rPr>
        <w:rFonts w:ascii="Arial" w:hAnsi="Arial" w:cs="Arial"/>
        <w:sz w:val="16"/>
        <w:szCs w:val="16"/>
      </w:rPr>
      <w:fldChar w:fldCharType="separate"/>
    </w:r>
    <w:r w:rsidR="00AB6878">
      <w:rPr>
        <w:rFonts w:ascii="Arial" w:hAnsi="Arial" w:cs="Arial"/>
        <w:noProof/>
        <w:sz w:val="16"/>
        <w:szCs w:val="16"/>
      </w:rPr>
      <w:t>1</w:t>
    </w:r>
    <w:r w:rsidRPr="00F750E3">
      <w:rPr>
        <w:rFonts w:ascii="Arial" w:hAnsi="Arial" w:cs="Arial"/>
        <w:sz w:val="16"/>
        <w:szCs w:val="16"/>
      </w:rPr>
      <w:fldChar w:fldCharType="end"/>
    </w:r>
    <w:r w:rsidRPr="00F750E3">
      <w:rPr>
        <w:rFonts w:ascii="Arial" w:hAnsi="Arial" w:cs="Arial"/>
        <w:sz w:val="16"/>
        <w:szCs w:val="16"/>
      </w:rPr>
      <w:t xml:space="preserve"> of </w:t>
    </w:r>
    <w:r w:rsidRPr="00F750E3">
      <w:rPr>
        <w:rFonts w:ascii="Arial" w:hAnsi="Arial" w:cs="Arial"/>
        <w:sz w:val="16"/>
        <w:szCs w:val="16"/>
      </w:rPr>
      <w:fldChar w:fldCharType="begin"/>
    </w:r>
    <w:r w:rsidRPr="00F750E3">
      <w:rPr>
        <w:rFonts w:ascii="Arial" w:hAnsi="Arial" w:cs="Arial"/>
        <w:sz w:val="16"/>
        <w:szCs w:val="16"/>
      </w:rPr>
      <w:instrText xml:space="preserve"> NUMPAGES  </w:instrText>
    </w:r>
    <w:r w:rsidRPr="00F750E3">
      <w:rPr>
        <w:rFonts w:ascii="Arial" w:hAnsi="Arial" w:cs="Arial"/>
        <w:sz w:val="16"/>
        <w:szCs w:val="16"/>
      </w:rPr>
      <w:fldChar w:fldCharType="separate"/>
    </w:r>
    <w:r w:rsidR="00AB6878">
      <w:rPr>
        <w:rFonts w:ascii="Arial" w:hAnsi="Arial" w:cs="Arial"/>
        <w:noProof/>
        <w:sz w:val="16"/>
        <w:szCs w:val="16"/>
      </w:rPr>
      <w:t>2</w:t>
    </w:r>
    <w:r w:rsidRPr="00F750E3">
      <w:rPr>
        <w:rFonts w:ascii="Arial" w:hAnsi="Arial" w:cs="Arial"/>
        <w:sz w:val="16"/>
        <w:szCs w:val="16"/>
      </w:rPr>
      <w:fldChar w:fldCharType="end"/>
    </w:r>
  </w:p>
  <w:p w:rsidR="00F750E3" w:rsidRPr="00F750E3" w:rsidRDefault="00F750E3" w:rsidP="001C75ED">
    <w:pPr>
      <w:pStyle w:val="Footer"/>
      <w:tabs>
        <w:tab w:val="right" w:pos="9072"/>
      </w:tabs>
      <w:rPr>
        <w:rFonts w:ascii="Arial" w:hAnsi="Arial" w:cs="Arial"/>
        <w:sz w:val="16"/>
        <w:szCs w:val="16"/>
      </w:rPr>
    </w:pPr>
  </w:p>
  <w:p w:rsidR="0052700D" w:rsidRPr="00F750E3" w:rsidRDefault="00F750E3" w:rsidP="00F750E3">
    <w:pPr>
      <w:pStyle w:val="Footer"/>
      <w:tabs>
        <w:tab w:val="right" w:pos="8931"/>
      </w:tabs>
      <w:jc w:val="center"/>
      <w:rPr>
        <w:rFonts w:ascii="Arial" w:hAnsi="Arial" w:cs="Arial"/>
        <w:b/>
        <w:bCs/>
        <w:i/>
        <w:iCs/>
        <w:color w:val="939598"/>
        <w:sz w:val="16"/>
        <w:szCs w:val="16"/>
      </w:rPr>
    </w:pPr>
    <w:r w:rsidRPr="00F750E3">
      <w:rPr>
        <w:rFonts w:ascii="Arial" w:hAnsi="Arial" w:cs="Arial"/>
        <w:b/>
        <w:bCs/>
        <w:i/>
        <w:iCs/>
        <w:color w:val="939598"/>
        <w:sz w:val="16"/>
        <w:szCs w:val="16"/>
      </w:rPr>
      <w:t>The ETC provides timely, predictable and effective Information Communications Technology services to support the humanitarian community in carrying-out their work efficiently, effectively and safely.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43" w:rsidRDefault="00CF0743" w:rsidP="00665B4D">
      <w:r>
        <w:separator/>
      </w:r>
    </w:p>
  </w:footnote>
  <w:footnote w:type="continuationSeparator" w:id="0">
    <w:p w:rsidR="00CF0743" w:rsidRDefault="00CF0743" w:rsidP="0066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E3" w:rsidRPr="00E16289" w:rsidRDefault="00F750E3" w:rsidP="00647CC9">
    <w:pPr>
      <w:pStyle w:val="Header"/>
      <w:pBdr>
        <w:bottom w:val="single" w:sz="8" w:space="1" w:color="F58220"/>
      </w:pBdr>
    </w:pPr>
    <w:r>
      <w:rPr>
        <w:noProof/>
      </w:rPr>
      <w:drawing>
        <wp:inline distT="0" distB="0" distL="0" distR="0" wp14:anchorId="2654EA36" wp14:editId="22A9DE07">
          <wp:extent cx="784860" cy="678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128" r="36856" b="34074"/>
                  <a:stretch/>
                </pic:blipFill>
                <pic:spPr bwMode="auto">
                  <a:xfrm>
                    <a:off x="0" y="0"/>
                    <a:ext cx="784860" cy="678180"/>
                  </a:xfrm>
                  <a:prstGeom prst="rect">
                    <a:avLst/>
                  </a:prstGeom>
                  <a:noFill/>
                  <a:ln>
                    <a:noFill/>
                  </a:ln>
                  <a:extLst>
                    <a:ext uri="{53640926-AAD7-44D8-BBD7-CCE9431645EC}">
                      <a14:shadowObscured xmlns:a14="http://schemas.microsoft.com/office/drawing/2010/main"/>
                    </a:ext>
                  </a:extLst>
                </pic:spPr>
              </pic:pic>
            </a:graphicData>
          </a:graphic>
        </wp:inline>
      </w:drawing>
    </w:r>
  </w:p>
  <w:p w:rsidR="00F750E3" w:rsidRPr="00C843EB" w:rsidRDefault="00F750E3" w:rsidP="00C843EB">
    <w:pPr>
      <w:pStyle w:val="Header"/>
    </w:pPr>
  </w:p>
  <w:p w:rsidR="00A96534" w:rsidRDefault="00A96534" w:rsidP="00665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96534" w:rsidTr="00455543">
      <w:tc>
        <w:tcPr>
          <w:tcW w:w="9576" w:type="dxa"/>
        </w:tcPr>
        <w:p w:rsidR="00A96534" w:rsidRDefault="00A96534" w:rsidP="001339A1">
          <w:pPr>
            <w:pStyle w:val="Header"/>
            <w:jc w:val="center"/>
          </w:pPr>
          <w:r>
            <w:rPr>
              <w:noProof/>
            </w:rPr>
            <w:drawing>
              <wp:inline distT="0" distB="0" distL="0" distR="0" wp14:anchorId="3A38D0BB" wp14:editId="3A38D0BC">
                <wp:extent cx="3520440" cy="12001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20440" cy="1200150"/>
                        </a:xfrm>
                        <a:prstGeom prst="rect">
                          <a:avLst/>
                        </a:prstGeom>
                        <a:noFill/>
                        <a:ln w="9525">
                          <a:noFill/>
                          <a:miter lim="800000"/>
                          <a:headEnd/>
                          <a:tailEnd/>
                        </a:ln>
                      </pic:spPr>
                    </pic:pic>
                  </a:graphicData>
                </a:graphic>
              </wp:inline>
            </w:drawing>
          </w:r>
        </w:p>
      </w:tc>
    </w:tr>
  </w:tbl>
  <w:p w:rsidR="00A96534" w:rsidRDefault="00A96534" w:rsidP="0066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110"/>
    <w:multiLevelType w:val="hybridMultilevel"/>
    <w:tmpl w:val="79145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04CC9"/>
    <w:multiLevelType w:val="hybridMultilevel"/>
    <w:tmpl w:val="E746F1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43570"/>
    <w:multiLevelType w:val="hybridMultilevel"/>
    <w:tmpl w:val="84E24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65E93"/>
    <w:multiLevelType w:val="hybridMultilevel"/>
    <w:tmpl w:val="DE9A3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032ED1"/>
    <w:multiLevelType w:val="hybridMultilevel"/>
    <w:tmpl w:val="A4C0E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3D3928"/>
    <w:multiLevelType w:val="hybridMultilevel"/>
    <w:tmpl w:val="F9281E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233F9B"/>
    <w:multiLevelType w:val="hybridMultilevel"/>
    <w:tmpl w:val="E3A48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D2E7B"/>
    <w:multiLevelType w:val="hybridMultilevel"/>
    <w:tmpl w:val="A740D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0F28FE"/>
    <w:multiLevelType w:val="hybridMultilevel"/>
    <w:tmpl w:val="C93EE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4D2D"/>
    <w:multiLevelType w:val="hybridMultilevel"/>
    <w:tmpl w:val="5E6E0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81D34"/>
    <w:multiLevelType w:val="multilevel"/>
    <w:tmpl w:val="304E6D0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4B7F19F8"/>
    <w:multiLevelType w:val="hybridMultilevel"/>
    <w:tmpl w:val="CD8AA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AB4C65"/>
    <w:multiLevelType w:val="hybridMultilevel"/>
    <w:tmpl w:val="2938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EB39AA"/>
    <w:multiLevelType w:val="hybridMultilevel"/>
    <w:tmpl w:val="CF4E9D52"/>
    <w:lvl w:ilvl="0" w:tplc="2286C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C95A4B"/>
    <w:multiLevelType w:val="hybridMultilevel"/>
    <w:tmpl w:val="82BE2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7F399F"/>
    <w:multiLevelType w:val="hybridMultilevel"/>
    <w:tmpl w:val="B394C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401887"/>
    <w:multiLevelType w:val="hybridMultilevel"/>
    <w:tmpl w:val="2B163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6E4F89"/>
    <w:multiLevelType w:val="hybridMultilevel"/>
    <w:tmpl w:val="06229866"/>
    <w:lvl w:ilvl="0" w:tplc="77DA62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6462B"/>
    <w:multiLevelType w:val="hybridMultilevel"/>
    <w:tmpl w:val="43440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C61887"/>
    <w:multiLevelType w:val="hybridMultilevel"/>
    <w:tmpl w:val="3C5272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2955CE"/>
    <w:multiLevelType w:val="hybridMultilevel"/>
    <w:tmpl w:val="0F881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4D4086"/>
    <w:multiLevelType w:val="hybridMultilevel"/>
    <w:tmpl w:val="4E66279C"/>
    <w:lvl w:ilvl="0" w:tplc="DE8E95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21"/>
  </w:num>
  <w:num w:numId="4">
    <w:abstractNumId w:val="3"/>
  </w:num>
  <w:num w:numId="5">
    <w:abstractNumId w:val="11"/>
  </w:num>
  <w:num w:numId="6">
    <w:abstractNumId w:val="19"/>
  </w:num>
  <w:num w:numId="7">
    <w:abstractNumId w:val="12"/>
  </w:num>
  <w:num w:numId="8">
    <w:abstractNumId w:val="18"/>
  </w:num>
  <w:num w:numId="9">
    <w:abstractNumId w:val="7"/>
  </w:num>
  <w:num w:numId="10">
    <w:abstractNumId w:val="5"/>
  </w:num>
  <w:num w:numId="11">
    <w:abstractNumId w:val="6"/>
  </w:num>
  <w:num w:numId="12">
    <w:abstractNumId w:val="15"/>
  </w:num>
  <w:num w:numId="13">
    <w:abstractNumId w:val="8"/>
  </w:num>
  <w:num w:numId="14">
    <w:abstractNumId w:val="1"/>
  </w:num>
  <w:num w:numId="15">
    <w:abstractNumId w:val="14"/>
  </w:num>
  <w:num w:numId="16">
    <w:abstractNumId w:val="10"/>
  </w:num>
  <w:num w:numId="17">
    <w:abstractNumId w:val="20"/>
  </w:num>
  <w:num w:numId="18">
    <w:abstractNumId w:val="9"/>
  </w:num>
  <w:num w:numId="19">
    <w:abstractNumId w:val="17"/>
  </w:num>
  <w:num w:numId="20">
    <w:abstractNumId w:val="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4D"/>
    <w:rsid w:val="0000663C"/>
    <w:rsid w:val="00015B48"/>
    <w:rsid w:val="00024A15"/>
    <w:rsid w:val="00034CEF"/>
    <w:rsid w:val="000367EA"/>
    <w:rsid w:val="00036BEB"/>
    <w:rsid w:val="00050E5A"/>
    <w:rsid w:val="000552B9"/>
    <w:rsid w:val="000552E5"/>
    <w:rsid w:val="0005554F"/>
    <w:rsid w:val="00061782"/>
    <w:rsid w:val="0006376D"/>
    <w:rsid w:val="000652E7"/>
    <w:rsid w:val="00066AB9"/>
    <w:rsid w:val="00081845"/>
    <w:rsid w:val="0008704C"/>
    <w:rsid w:val="00090C19"/>
    <w:rsid w:val="00095DE6"/>
    <w:rsid w:val="000A3029"/>
    <w:rsid w:val="000A3693"/>
    <w:rsid w:val="000B0630"/>
    <w:rsid w:val="000B36C0"/>
    <w:rsid w:val="000B7B3F"/>
    <w:rsid w:val="000C5EBE"/>
    <w:rsid w:val="000D029B"/>
    <w:rsid w:val="000E1767"/>
    <w:rsid w:val="000E223B"/>
    <w:rsid w:val="000F5B39"/>
    <w:rsid w:val="000F65E6"/>
    <w:rsid w:val="00103CC0"/>
    <w:rsid w:val="0010599A"/>
    <w:rsid w:val="001105AF"/>
    <w:rsid w:val="0011111A"/>
    <w:rsid w:val="0011224D"/>
    <w:rsid w:val="00113E65"/>
    <w:rsid w:val="00114BDE"/>
    <w:rsid w:val="00115E70"/>
    <w:rsid w:val="001207D9"/>
    <w:rsid w:val="001255BD"/>
    <w:rsid w:val="00126236"/>
    <w:rsid w:val="00126D40"/>
    <w:rsid w:val="001339A1"/>
    <w:rsid w:val="00135B59"/>
    <w:rsid w:val="00140DBE"/>
    <w:rsid w:val="00142BCF"/>
    <w:rsid w:val="00144E62"/>
    <w:rsid w:val="001453E3"/>
    <w:rsid w:val="00151B3C"/>
    <w:rsid w:val="00153EF7"/>
    <w:rsid w:val="00154995"/>
    <w:rsid w:val="00156510"/>
    <w:rsid w:val="00162433"/>
    <w:rsid w:val="001654CD"/>
    <w:rsid w:val="0017149C"/>
    <w:rsid w:val="00173199"/>
    <w:rsid w:val="00175548"/>
    <w:rsid w:val="001759B1"/>
    <w:rsid w:val="0017600B"/>
    <w:rsid w:val="00180375"/>
    <w:rsid w:val="001821E3"/>
    <w:rsid w:val="00185620"/>
    <w:rsid w:val="001871CA"/>
    <w:rsid w:val="001A03BB"/>
    <w:rsid w:val="001A0922"/>
    <w:rsid w:val="001A1FBA"/>
    <w:rsid w:val="001A2811"/>
    <w:rsid w:val="001A3B95"/>
    <w:rsid w:val="001A7DA6"/>
    <w:rsid w:val="001B0CAC"/>
    <w:rsid w:val="001B4ABD"/>
    <w:rsid w:val="001C53D0"/>
    <w:rsid w:val="001D7C57"/>
    <w:rsid w:val="001E0BFE"/>
    <w:rsid w:val="001E13EA"/>
    <w:rsid w:val="001F68B7"/>
    <w:rsid w:val="00202202"/>
    <w:rsid w:val="00203E81"/>
    <w:rsid w:val="00205881"/>
    <w:rsid w:val="00223BC5"/>
    <w:rsid w:val="0023376D"/>
    <w:rsid w:val="0025078E"/>
    <w:rsid w:val="00252071"/>
    <w:rsid w:val="002600D9"/>
    <w:rsid w:val="00265BE4"/>
    <w:rsid w:val="00272B96"/>
    <w:rsid w:val="00276025"/>
    <w:rsid w:val="00276482"/>
    <w:rsid w:val="002767C1"/>
    <w:rsid w:val="00277D9A"/>
    <w:rsid w:val="00281F59"/>
    <w:rsid w:val="00286DD2"/>
    <w:rsid w:val="00294CCA"/>
    <w:rsid w:val="00295A41"/>
    <w:rsid w:val="002A25B0"/>
    <w:rsid w:val="002B1F6D"/>
    <w:rsid w:val="002B5AD3"/>
    <w:rsid w:val="002B642E"/>
    <w:rsid w:val="002C2669"/>
    <w:rsid w:val="002C3FFB"/>
    <w:rsid w:val="002C5897"/>
    <w:rsid w:val="002E35CF"/>
    <w:rsid w:val="002E79FD"/>
    <w:rsid w:val="002F16A2"/>
    <w:rsid w:val="002F3690"/>
    <w:rsid w:val="00305BDB"/>
    <w:rsid w:val="00311414"/>
    <w:rsid w:val="0031436F"/>
    <w:rsid w:val="0031547A"/>
    <w:rsid w:val="00332725"/>
    <w:rsid w:val="003329AF"/>
    <w:rsid w:val="00334DE3"/>
    <w:rsid w:val="00346C77"/>
    <w:rsid w:val="003517B0"/>
    <w:rsid w:val="00353C31"/>
    <w:rsid w:val="00354765"/>
    <w:rsid w:val="00357C50"/>
    <w:rsid w:val="003600E1"/>
    <w:rsid w:val="00363CB0"/>
    <w:rsid w:val="00365BF2"/>
    <w:rsid w:val="00370737"/>
    <w:rsid w:val="003710A6"/>
    <w:rsid w:val="0037289B"/>
    <w:rsid w:val="0037524A"/>
    <w:rsid w:val="00377365"/>
    <w:rsid w:val="00381AE3"/>
    <w:rsid w:val="00382E9A"/>
    <w:rsid w:val="00383A39"/>
    <w:rsid w:val="00385DEE"/>
    <w:rsid w:val="003A258A"/>
    <w:rsid w:val="003A30D2"/>
    <w:rsid w:val="003B6C56"/>
    <w:rsid w:val="003C38DA"/>
    <w:rsid w:val="003D2337"/>
    <w:rsid w:val="003D6FD3"/>
    <w:rsid w:val="003E72A7"/>
    <w:rsid w:val="003F24F2"/>
    <w:rsid w:val="003F29F8"/>
    <w:rsid w:val="00401374"/>
    <w:rsid w:val="0040721B"/>
    <w:rsid w:val="004072AF"/>
    <w:rsid w:val="00417DD8"/>
    <w:rsid w:val="004243C8"/>
    <w:rsid w:val="00427AB2"/>
    <w:rsid w:val="0043141F"/>
    <w:rsid w:val="00432233"/>
    <w:rsid w:val="00441097"/>
    <w:rsid w:val="00441C17"/>
    <w:rsid w:val="00455F26"/>
    <w:rsid w:val="0045640D"/>
    <w:rsid w:val="004568E6"/>
    <w:rsid w:val="00456901"/>
    <w:rsid w:val="0045733C"/>
    <w:rsid w:val="00464F5E"/>
    <w:rsid w:val="004724AA"/>
    <w:rsid w:val="00472D50"/>
    <w:rsid w:val="00473687"/>
    <w:rsid w:val="00480139"/>
    <w:rsid w:val="00481A56"/>
    <w:rsid w:val="004830D4"/>
    <w:rsid w:val="0049288A"/>
    <w:rsid w:val="00492FA7"/>
    <w:rsid w:val="00495E69"/>
    <w:rsid w:val="0049637C"/>
    <w:rsid w:val="004970EA"/>
    <w:rsid w:val="004979C3"/>
    <w:rsid w:val="004A3E01"/>
    <w:rsid w:val="004A5470"/>
    <w:rsid w:val="004A6CCE"/>
    <w:rsid w:val="004B1760"/>
    <w:rsid w:val="004B5483"/>
    <w:rsid w:val="004C69A1"/>
    <w:rsid w:val="004D02C8"/>
    <w:rsid w:val="004D0929"/>
    <w:rsid w:val="004D31C0"/>
    <w:rsid w:val="004E47AE"/>
    <w:rsid w:val="004F0CF5"/>
    <w:rsid w:val="004F2A74"/>
    <w:rsid w:val="004F3630"/>
    <w:rsid w:val="004F4283"/>
    <w:rsid w:val="00500E51"/>
    <w:rsid w:val="00503A36"/>
    <w:rsid w:val="00505E13"/>
    <w:rsid w:val="00510291"/>
    <w:rsid w:val="00514752"/>
    <w:rsid w:val="00514E7C"/>
    <w:rsid w:val="00514F77"/>
    <w:rsid w:val="00525259"/>
    <w:rsid w:val="0052530C"/>
    <w:rsid w:val="0052700D"/>
    <w:rsid w:val="00527240"/>
    <w:rsid w:val="0052782E"/>
    <w:rsid w:val="00527B58"/>
    <w:rsid w:val="00543675"/>
    <w:rsid w:val="00546895"/>
    <w:rsid w:val="00550C75"/>
    <w:rsid w:val="00550DC9"/>
    <w:rsid w:val="0055786E"/>
    <w:rsid w:val="00567E0D"/>
    <w:rsid w:val="00573FDC"/>
    <w:rsid w:val="005743AD"/>
    <w:rsid w:val="005749E5"/>
    <w:rsid w:val="00592DB7"/>
    <w:rsid w:val="00592F6D"/>
    <w:rsid w:val="00594682"/>
    <w:rsid w:val="005A0F19"/>
    <w:rsid w:val="005A2670"/>
    <w:rsid w:val="005A7CF3"/>
    <w:rsid w:val="005B395F"/>
    <w:rsid w:val="005C14CA"/>
    <w:rsid w:val="005C2F84"/>
    <w:rsid w:val="005C5A1C"/>
    <w:rsid w:val="005C5C97"/>
    <w:rsid w:val="005C665A"/>
    <w:rsid w:val="005C6CFC"/>
    <w:rsid w:val="005D25CC"/>
    <w:rsid w:val="005E0C76"/>
    <w:rsid w:val="005E13CC"/>
    <w:rsid w:val="005E59F0"/>
    <w:rsid w:val="005E784D"/>
    <w:rsid w:val="005E7E32"/>
    <w:rsid w:val="0060171B"/>
    <w:rsid w:val="00602AF8"/>
    <w:rsid w:val="006065C5"/>
    <w:rsid w:val="006114A8"/>
    <w:rsid w:val="00615406"/>
    <w:rsid w:val="00616F06"/>
    <w:rsid w:val="00617CF4"/>
    <w:rsid w:val="0062006F"/>
    <w:rsid w:val="006222C2"/>
    <w:rsid w:val="00624777"/>
    <w:rsid w:val="00625C70"/>
    <w:rsid w:val="00630AF2"/>
    <w:rsid w:val="006325C8"/>
    <w:rsid w:val="006341E3"/>
    <w:rsid w:val="00637022"/>
    <w:rsid w:val="006531F6"/>
    <w:rsid w:val="00660D2C"/>
    <w:rsid w:val="006625EF"/>
    <w:rsid w:val="00662A58"/>
    <w:rsid w:val="00665B4D"/>
    <w:rsid w:val="00677A7D"/>
    <w:rsid w:val="0068369E"/>
    <w:rsid w:val="0068646C"/>
    <w:rsid w:val="00690A03"/>
    <w:rsid w:val="006B60F1"/>
    <w:rsid w:val="006D029A"/>
    <w:rsid w:val="006D530F"/>
    <w:rsid w:val="006D7838"/>
    <w:rsid w:val="006E295E"/>
    <w:rsid w:val="006E60B4"/>
    <w:rsid w:val="006F4AC3"/>
    <w:rsid w:val="006F6CE6"/>
    <w:rsid w:val="00703849"/>
    <w:rsid w:val="00704D71"/>
    <w:rsid w:val="007055CC"/>
    <w:rsid w:val="00707799"/>
    <w:rsid w:val="00720CF5"/>
    <w:rsid w:val="00724809"/>
    <w:rsid w:val="007358B5"/>
    <w:rsid w:val="007472E1"/>
    <w:rsid w:val="00751ADB"/>
    <w:rsid w:val="00755392"/>
    <w:rsid w:val="00756FB3"/>
    <w:rsid w:val="0076112F"/>
    <w:rsid w:val="00763857"/>
    <w:rsid w:val="0077462E"/>
    <w:rsid w:val="0078251B"/>
    <w:rsid w:val="00784093"/>
    <w:rsid w:val="007953CC"/>
    <w:rsid w:val="007A05B5"/>
    <w:rsid w:val="007A57E2"/>
    <w:rsid w:val="007A5E4B"/>
    <w:rsid w:val="007A7E28"/>
    <w:rsid w:val="007B209D"/>
    <w:rsid w:val="007B602E"/>
    <w:rsid w:val="007B7F0B"/>
    <w:rsid w:val="007C13C7"/>
    <w:rsid w:val="007C49A6"/>
    <w:rsid w:val="007C4E3A"/>
    <w:rsid w:val="007C71E9"/>
    <w:rsid w:val="007D085B"/>
    <w:rsid w:val="007D5E44"/>
    <w:rsid w:val="007D619E"/>
    <w:rsid w:val="007D6293"/>
    <w:rsid w:val="007E0355"/>
    <w:rsid w:val="007E46E7"/>
    <w:rsid w:val="007E7F00"/>
    <w:rsid w:val="007F173E"/>
    <w:rsid w:val="007F28B0"/>
    <w:rsid w:val="00801A07"/>
    <w:rsid w:val="00805975"/>
    <w:rsid w:val="0081145A"/>
    <w:rsid w:val="00815E20"/>
    <w:rsid w:val="00824C2E"/>
    <w:rsid w:val="00827E92"/>
    <w:rsid w:val="00833174"/>
    <w:rsid w:val="00844B61"/>
    <w:rsid w:val="0084574D"/>
    <w:rsid w:val="00850F03"/>
    <w:rsid w:val="00861D9C"/>
    <w:rsid w:val="00864FAA"/>
    <w:rsid w:val="00866E7B"/>
    <w:rsid w:val="00872002"/>
    <w:rsid w:val="00875665"/>
    <w:rsid w:val="00875FE8"/>
    <w:rsid w:val="008776F2"/>
    <w:rsid w:val="008839DA"/>
    <w:rsid w:val="008907F1"/>
    <w:rsid w:val="00890981"/>
    <w:rsid w:val="0089118B"/>
    <w:rsid w:val="00891A59"/>
    <w:rsid w:val="00897E3C"/>
    <w:rsid w:val="008A075E"/>
    <w:rsid w:val="008C1D64"/>
    <w:rsid w:val="008D155C"/>
    <w:rsid w:val="008D6E61"/>
    <w:rsid w:val="008E05A2"/>
    <w:rsid w:val="008E1EDA"/>
    <w:rsid w:val="008F04E0"/>
    <w:rsid w:val="008F169F"/>
    <w:rsid w:val="008F4F53"/>
    <w:rsid w:val="008F5CD5"/>
    <w:rsid w:val="008F7F95"/>
    <w:rsid w:val="00902010"/>
    <w:rsid w:val="00902A53"/>
    <w:rsid w:val="0090762E"/>
    <w:rsid w:val="00910AD7"/>
    <w:rsid w:val="009147D5"/>
    <w:rsid w:val="009163BB"/>
    <w:rsid w:val="00917CC0"/>
    <w:rsid w:val="0093023D"/>
    <w:rsid w:val="00937038"/>
    <w:rsid w:val="009375A9"/>
    <w:rsid w:val="00944451"/>
    <w:rsid w:val="00945D43"/>
    <w:rsid w:val="00950E49"/>
    <w:rsid w:val="00952A0E"/>
    <w:rsid w:val="00957ECA"/>
    <w:rsid w:val="00961F7A"/>
    <w:rsid w:val="009639DF"/>
    <w:rsid w:val="009653B2"/>
    <w:rsid w:val="009712A5"/>
    <w:rsid w:val="0097384A"/>
    <w:rsid w:val="009803A4"/>
    <w:rsid w:val="00982E21"/>
    <w:rsid w:val="00986485"/>
    <w:rsid w:val="00990ED8"/>
    <w:rsid w:val="00996A1F"/>
    <w:rsid w:val="00996D08"/>
    <w:rsid w:val="009974D8"/>
    <w:rsid w:val="009A0359"/>
    <w:rsid w:val="009A2168"/>
    <w:rsid w:val="009A614A"/>
    <w:rsid w:val="009A6A41"/>
    <w:rsid w:val="009B0CB8"/>
    <w:rsid w:val="009B5798"/>
    <w:rsid w:val="009B6B8E"/>
    <w:rsid w:val="009C138A"/>
    <w:rsid w:val="009C1831"/>
    <w:rsid w:val="009C2039"/>
    <w:rsid w:val="009C3514"/>
    <w:rsid w:val="009D06A8"/>
    <w:rsid w:val="009D2523"/>
    <w:rsid w:val="009E59E8"/>
    <w:rsid w:val="009E6ADD"/>
    <w:rsid w:val="009F2DBA"/>
    <w:rsid w:val="009F354D"/>
    <w:rsid w:val="009F666B"/>
    <w:rsid w:val="009F715B"/>
    <w:rsid w:val="00A0012D"/>
    <w:rsid w:val="00A00CBE"/>
    <w:rsid w:val="00A01CAD"/>
    <w:rsid w:val="00A17849"/>
    <w:rsid w:val="00A22DF1"/>
    <w:rsid w:val="00A23231"/>
    <w:rsid w:val="00A2555A"/>
    <w:rsid w:val="00A40499"/>
    <w:rsid w:val="00A419B3"/>
    <w:rsid w:val="00A604B3"/>
    <w:rsid w:val="00A71480"/>
    <w:rsid w:val="00A716BA"/>
    <w:rsid w:val="00A75669"/>
    <w:rsid w:val="00A765F6"/>
    <w:rsid w:val="00A833A4"/>
    <w:rsid w:val="00A84AB9"/>
    <w:rsid w:val="00A9023F"/>
    <w:rsid w:val="00A948D9"/>
    <w:rsid w:val="00A94EDF"/>
    <w:rsid w:val="00A96534"/>
    <w:rsid w:val="00A96847"/>
    <w:rsid w:val="00AA6634"/>
    <w:rsid w:val="00AB5FEB"/>
    <w:rsid w:val="00AB6878"/>
    <w:rsid w:val="00AC38EA"/>
    <w:rsid w:val="00AC4C74"/>
    <w:rsid w:val="00AD1ABF"/>
    <w:rsid w:val="00AD227B"/>
    <w:rsid w:val="00AE0A9A"/>
    <w:rsid w:val="00AE6C13"/>
    <w:rsid w:val="00AE7DC8"/>
    <w:rsid w:val="00B01BDC"/>
    <w:rsid w:val="00B02FCC"/>
    <w:rsid w:val="00B10D32"/>
    <w:rsid w:val="00B14982"/>
    <w:rsid w:val="00B14ED3"/>
    <w:rsid w:val="00B23FC5"/>
    <w:rsid w:val="00B3302A"/>
    <w:rsid w:val="00B3729A"/>
    <w:rsid w:val="00B37671"/>
    <w:rsid w:val="00B46656"/>
    <w:rsid w:val="00B47AC9"/>
    <w:rsid w:val="00B5001F"/>
    <w:rsid w:val="00B52269"/>
    <w:rsid w:val="00B53CF3"/>
    <w:rsid w:val="00B629D8"/>
    <w:rsid w:val="00B65EA9"/>
    <w:rsid w:val="00B835B1"/>
    <w:rsid w:val="00B905C1"/>
    <w:rsid w:val="00BA1127"/>
    <w:rsid w:val="00BA260F"/>
    <w:rsid w:val="00BA4852"/>
    <w:rsid w:val="00BA4A17"/>
    <w:rsid w:val="00BA5EF4"/>
    <w:rsid w:val="00BB19D0"/>
    <w:rsid w:val="00BB2428"/>
    <w:rsid w:val="00BB5463"/>
    <w:rsid w:val="00BC180F"/>
    <w:rsid w:val="00BC4AFF"/>
    <w:rsid w:val="00BC7643"/>
    <w:rsid w:val="00BD14C2"/>
    <w:rsid w:val="00BD5E68"/>
    <w:rsid w:val="00BD7794"/>
    <w:rsid w:val="00BE50D2"/>
    <w:rsid w:val="00BE688A"/>
    <w:rsid w:val="00C00369"/>
    <w:rsid w:val="00C05121"/>
    <w:rsid w:val="00C075AF"/>
    <w:rsid w:val="00C110F2"/>
    <w:rsid w:val="00C140F0"/>
    <w:rsid w:val="00C145FE"/>
    <w:rsid w:val="00C17F8F"/>
    <w:rsid w:val="00C244B2"/>
    <w:rsid w:val="00C31CEE"/>
    <w:rsid w:val="00C34330"/>
    <w:rsid w:val="00C40423"/>
    <w:rsid w:val="00C421CB"/>
    <w:rsid w:val="00C42FE5"/>
    <w:rsid w:val="00C438F9"/>
    <w:rsid w:val="00C43D92"/>
    <w:rsid w:val="00C456CF"/>
    <w:rsid w:val="00C523EE"/>
    <w:rsid w:val="00C5397F"/>
    <w:rsid w:val="00C55E3C"/>
    <w:rsid w:val="00C61ECA"/>
    <w:rsid w:val="00C631FE"/>
    <w:rsid w:val="00C64B13"/>
    <w:rsid w:val="00C73CF8"/>
    <w:rsid w:val="00C84265"/>
    <w:rsid w:val="00C90EF4"/>
    <w:rsid w:val="00CA0DB2"/>
    <w:rsid w:val="00CA24F0"/>
    <w:rsid w:val="00CA2FE2"/>
    <w:rsid w:val="00CB2CA2"/>
    <w:rsid w:val="00CB4242"/>
    <w:rsid w:val="00CD2DA5"/>
    <w:rsid w:val="00CE2CDC"/>
    <w:rsid w:val="00CF0743"/>
    <w:rsid w:val="00CF0A27"/>
    <w:rsid w:val="00CF305C"/>
    <w:rsid w:val="00D02DD5"/>
    <w:rsid w:val="00D141C2"/>
    <w:rsid w:val="00D17E36"/>
    <w:rsid w:val="00D22A94"/>
    <w:rsid w:val="00D23EDC"/>
    <w:rsid w:val="00D26AE9"/>
    <w:rsid w:val="00D453BD"/>
    <w:rsid w:val="00D502EA"/>
    <w:rsid w:val="00D67726"/>
    <w:rsid w:val="00D70537"/>
    <w:rsid w:val="00D738D0"/>
    <w:rsid w:val="00D74237"/>
    <w:rsid w:val="00D862F1"/>
    <w:rsid w:val="00D86B25"/>
    <w:rsid w:val="00D90C19"/>
    <w:rsid w:val="00D9103C"/>
    <w:rsid w:val="00DA13A2"/>
    <w:rsid w:val="00DA1FF6"/>
    <w:rsid w:val="00DB15E6"/>
    <w:rsid w:val="00DB6177"/>
    <w:rsid w:val="00DD34D4"/>
    <w:rsid w:val="00DE1DDE"/>
    <w:rsid w:val="00DE1DFE"/>
    <w:rsid w:val="00DE2420"/>
    <w:rsid w:val="00DE7528"/>
    <w:rsid w:val="00E0107C"/>
    <w:rsid w:val="00E03D46"/>
    <w:rsid w:val="00E067E6"/>
    <w:rsid w:val="00E10B6E"/>
    <w:rsid w:val="00E119F2"/>
    <w:rsid w:val="00E12D35"/>
    <w:rsid w:val="00E22951"/>
    <w:rsid w:val="00E22DFB"/>
    <w:rsid w:val="00E26A51"/>
    <w:rsid w:val="00E3086D"/>
    <w:rsid w:val="00E32595"/>
    <w:rsid w:val="00E3300B"/>
    <w:rsid w:val="00E5363B"/>
    <w:rsid w:val="00E6272B"/>
    <w:rsid w:val="00E663FF"/>
    <w:rsid w:val="00E80EDA"/>
    <w:rsid w:val="00E81A40"/>
    <w:rsid w:val="00E824A4"/>
    <w:rsid w:val="00E9044E"/>
    <w:rsid w:val="00E90DCA"/>
    <w:rsid w:val="00E92EA8"/>
    <w:rsid w:val="00E9375A"/>
    <w:rsid w:val="00E93843"/>
    <w:rsid w:val="00E972D3"/>
    <w:rsid w:val="00EA3DBC"/>
    <w:rsid w:val="00EC1129"/>
    <w:rsid w:val="00ED0D51"/>
    <w:rsid w:val="00ED4A1C"/>
    <w:rsid w:val="00ED5435"/>
    <w:rsid w:val="00ED5E2F"/>
    <w:rsid w:val="00EE5A9E"/>
    <w:rsid w:val="00EE5E27"/>
    <w:rsid w:val="00EF5EC4"/>
    <w:rsid w:val="00EF61DE"/>
    <w:rsid w:val="00F06055"/>
    <w:rsid w:val="00F13875"/>
    <w:rsid w:val="00F14DEF"/>
    <w:rsid w:val="00F21378"/>
    <w:rsid w:val="00F337A2"/>
    <w:rsid w:val="00F43712"/>
    <w:rsid w:val="00F447A0"/>
    <w:rsid w:val="00F62030"/>
    <w:rsid w:val="00F64F0A"/>
    <w:rsid w:val="00F750E3"/>
    <w:rsid w:val="00F77549"/>
    <w:rsid w:val="00F86D5D"/>
    <w:rsid w:val="00F91109"/>
    <w:rsid w:val="00FA0438"/>
    <w:rsid w:val="00FA2968"/>
    <w:rsid w:val="00FB082E"/>
    <w:rsid w:val="00FB170D"/>
    <w:rsid w:val="00FB56BB"/>
    <w:rsid w:val="00FC359F"/>
    <w:rsid w:val="00FC49A8"/>
    <w:rsid w:val="00FD58ED"/>
    <w:rsid w:val="00FD7CCE"/>
    <w:rsid w:val="00FE27DA"/>
    <w:rsid w:val="00FE3E11"/>
    <w:rsid w:val="00FF7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E755D-A82A-42E0-8D33-ECDF1329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4D"/>
    <w:pPr>
      <w:spacing w:after="120"/>
      <w:jc w:val="both"/>
    </w:pPr>
    <w:rPr>
      <w:rFonts w:ascii="Segoe UI" w:hAnsi="Segoe UI" w:cs="Segoe UI"/>
      <w:sz w:val="20"/>
      <w:szCs w:val="24"/>
    </w:rPr>
  </w:style>
  <w:style w:type="paragraph" w:styleId="Heading1">
    <w:name w:val="heading 1"/>
    <w:basedOn w:val="NoSpacing"/>
    <w:next w:val="Normal"/>
    <w:link w:val="Heading1Char"/>
    <w:uiPriority w:val="9"/>
    <w:qFormat/>
    <w:rsid w:val="00665B4D"/>
    <w:pPr>
      <w:spacing w:before="480" w:after="120" w:line="276" w:lineRule="auto"/>
      <w:jc w:val="both"/>
      <w:outlineLvl w:val="0"/>
    </w:pPr>
    <w:rPr>
      <w:rFonts w:asciiTheme="majorHAnsi" w:hAnsiTheme="majorHAnsi"/>
      <w:b/>
      <w:color w:val="0054A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CF5"/>
    <w:pPr>
      <w:spacing w:after="0" w:line="240" w:lineRule="auto"/>
    </w:pPr>
  </w:style>
  <w:style w:type="paragraph" w:styleId="BalloonText">
    <w:name w:val="Balloon Text"/>
    <w:basedOn w:val="Normal"/>
    <w:link w:val="BalloonTextChar"/>
    <w:uiPriority w:val="99"/>
    <w:semiHidden/>
    <w:unhideWhenUsed/>
    <w:rsid w:val="004F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F5"/>
    <w:rPr>
      <w:rFonts w:ascii="Tahoma" w:hAnsi="Tahoma" w:cs="Tahoma"/>
      <w:sz w:val="16"/>
      <w:szCs w:val="16"/>
    </w:rPr>
  </w:style>
  <w:style w:type="paragraph" w:styleId="Header">
    <w:name w:val="header"/>
    <w:basedOn w:val="Normal"/>
    <w:link w:val="HeaderChar"/>
    <w:unhideWhenUsed/>
    <w:rsid w:val="002767C1"/>
    <w:pPr>
      <w:tabs>
        <w:tab w:val="center" w:pos="4680"/>
        <w:tab w:val="right" w:pos="9360"/>
      </w:tabs>
      <w:spacing w:after="0" w:line="240" w:lineRule="auto"/>
    </w:pPr>
  </w:style>
  <w:style w:type="character" w:customStyle="1" w:styleId="HeaderChar">
    <w:name w:val="Header Char"/>
    <w:basedOn w:val="DefaultParagraphFont"/>
    <w:link w:val="Header"/>
    <w:rsid w:val="002767C1"/>
  </w:style>
  <w:style w:type="paragraph" w:styleId="Footer">
    <w:name w:val="footer"/>
    <w:basedOn w:val="Normal"/>
    <w:link w:val="FooterChar"/>
    <w:uiPriority w:val="99"/>
    <w:unhideWhenUsed/>
    <w:rsid w:val="00276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C1"/>
  </w:style>
  <w:style w:type="table" w:styleId="TableGrid">
    <w:name w:val="Table Grid"/>
    <w:basedOn w:val="TableNormal"/>
    <w:uiPriority w:val="59"/>
    <w:rsid w:val="0027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BDE"/>
    <w:pPr>
      <w:ind w:left="720"/>
      <w:contextualSpacing/>
    </w:pPr>
  </w:style>
  <w:style w:type="character" w:styleId="CommentReference">
    <w:name w:val="annotation reference"/>
    <w:basedOn w:val="DefaultParagraphFont"/>
    <w:uiPriority w:val="99"/>
    <w:semiHidden/>
    <w:unhideWhenUsed/>
    <w:rsid w:val="009B0CB8"/>
    <w:rPr>
      <w:sz w:val="16"/>
      <w:szCs w:val="16"/>
    </w:rPr>
  </w:style>
  <w:style w:type="paragraph" w:styleId="CommentText">
    <w:name w:val="annotation text"/>
    <w:basedOn w:val="Normal"/>
    <w:link w:val="CommentTextChar"/>
    <w:uiPriority w:val="99"/>
    <w:semiHidden/>
    <w:unhideWhenUsed/>
    <w:rsid w:val="009B0CB8"/>
    <w:pPr>
      <w:spacing w:line="240" w:lineRule="auto"/>
    </w:pPr>
    <w:rPr>
      <w:szCs w:val="20"/>
    </w:rPr>
  </w:style>
  <w:style w:type="character" w:customStyle="1" w:styleId="CommentTextChar">
    <w:name w:val="Comment Text Char"/>
    <w:basedOn w:val="DefaultParagraphFont"/>
    <w:link w:val="CommentText"/>
    <w:uiPriority w:val="99"/>
    <w:semiHidden/>
    <w:rsid w:val="009B0CB8"/>
    <w:rPr>
      <w:sz w:val="20"/>
      <w:szCs w:val="20"/>
    </w:rPr>
  </w:style>
  <w:style w:type="paragraph" w:styleId="CommentSubject">
    <w:name w:val="annotation subject"/>
    <w:basedOn w:val="CommentText"/>
    <w:next w:val="CommentText"/>
    <w:link w:val="CommentSubjectChar"/>
    <w:uiPriority w:val="99"/>
    <w:semiHidden/>
    <w:unhideWhenUsed/>
    <w:rsid w:val="009B0CB8"/>
    <w:rPr>
      <w:b/>
      <w:bCs/>
    </w:rPr>
  </w:style>
  <w:style w:type="character" w:customStyle="1" w:styleId="CommentSubjectChar">
    <w:name w:val="Comment Subject Char"/>
    <w:basedOn w:val="CommentTextChar"/>
    <w:link w:val="CommentSubject"/>
    <w:uiPriority w:val="99"/>
    <w:semiHidden/>
    <w:rsid w:val="009B0CB8"/>
    <w:rPr>
      <w:b/>
      <w:bCs/>
      <w:sz w:val="20"/>
      <w:szCs w:val="20"/>
    </w:rPr>
  </w:style>
  <w:style w:type="character" w:styleId="Hyperlink">
    <w:name w:val="Hyperlink"/>
    <w:basedOn w:val="DefaultParagraphFont"/>
    <w:uiPriority w:val="99"/>
    <w:unhideWhenUsed/>
    <w:rsid w:val="00AD1ABF"/>
    <w:rPr>
      <w:color w:val="0000FF" w:themeColor="hyperlink"/>
      <w:u w:val="single"/>
    </w:rPr>
  </w:style>
  <w:style w:type="paragraph" w:styleId="Caption">
    <w:name w:val="caption"/>
    <w:basedOn w:val="Normal"/>
    <w:next w:val="Normal"/>
    <w:uiPriority w:val="35"/>
    <w:unhideWhenUsed/>
    <w:qFormat/>
    <w:rsid w:val="004F2A74"/>
    <w:pPr>
      <w:spacing w:line="240" w:lineRule="auto"/>
    </w:pPr>
    <w:rPr>
      <w:i/>
      <w:iCs/>
      <w:color w:val="0054A6" w:themeColor="text2"/>
      <w:sz w:val="18"/>
      <w:szCs w:val="18"/>
    </w:rPr>
  </w:style>
  <w:style w:type="paragraph" w:styleId="Title">
    <w:name w:val="Title"/>
    <w:basedOn w:val="Normal"/>
    <w:next w:val="Normal"/>
    <w:link w:val="TitleChar"/>
    <w:uiPriority w:val="10"/>
    <w:qFormat/>
    <w:rsid w:val="000652E7"/>
    <w:rPr>
      <w:rFonts w:asciiTheme="minorHAnsi" w:eastAsiaTheme="minorEastAsia" w:hAnsiTheme="minorHAnsi"/>
      <w:b/>
      <w:bCs/>
      <w:sz w:val="28"/>
      <w:szCs w:val="28"/>
    </w:rPr>
  </w:style>
  <w:style w:type="character" w:customStyle="1" w:styleId="TitleChar">
    <w:name w:val="Title Char"/>
    <w:basedOn w:val="DefaultParagraphFont"/>
    <w:link w:val="Title"/>
    <w:uiPriority w:val="10"/>
    <w:rsid w:val="000652E7"/>
    <w:rPr>
      <w:rFonts w:asciiTheme="minorHAnsi" w:eastAsiaTheme="minorEastAsia" w:hAnsiTheme="minorHAnsi"/>
      <w:b/>
      <w:bCs/>
      <w:sz w:val="28"/>
      <w:szCs w:val="28"/>
    </w:rPr>
  </w:style>
  <w:style w:type="character" w:customStyle="1" w:styleId="Heading1Char">
    <w:name w:val="Heading 1 Char"/>
    <w:basedOn w:val="DefaultParagraphFont"/>
    <w:link w:val="Heading1"/>
    <w:uiPriority w:val="9"/>
    <w:rsid w:val="00665B4D"/>
    <w:rPr>
      <w:rFonts w:asciiTheme="majorHAnsi" w:hAnsiTheme="majorHAnsi"/>
      <w:b/>
      <w:color w:val="0054A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6574">
      <w:bodyDiv w:val="1"/>
      <w:marLeft w:val="0"/>
      <w:marRight w:val="0"/>
      <w:marTop w:val="0"/>
      <w:marBottom w:val="0"/>
      <w:divBdr>
        <w:top w:val="none" w:sz="0" w:space="0" w:color="auto"/>
        <w:left w:val="none" w:sz="0" w:space="0" w:color="auto"/>
        <w:bottom w:val="none" w:sz="0" w:space="0" w:color="auto"/>
        <w:right w:val="none" w:sz="0" w:space="0" w:color="auto"/>
      </w:divBdr>
    </w:div>
    <w:div w:id="1368260773">
      <w:bodyDiv w:val="1"/>
      <w:marLeft w:val="0"/>
      <w:marRight w:val="0"/>
      <w:marTop w:val="0"/>
      <w:marBottom w:val="0"/>
      <w:divBdr>
        <w:top w:val="none" w:sz="0" w:space="0" w:color="auto"/>
        <w:left w:val="none" w:sz="0" w:space="0" w:color="auto"/>
        <w:bottom w:val="none" w:sz="0" w:space="0" w:color="auto"/>
        <w:right w:val="none" w:sz="0" w:space="0" w:color="auto"/>
      </w:divBdr>
    </w:div>
    <w:div w:id="13896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TC2015">
  <a:themeElements>
    <a:clrScheme name="ETC">
      <a:dk1>
        <a:sysClr val="windowText" lastClr="000000"/>
      </a:dk1>
      <a:lt1>
        <a:sysClr val="window" lastClr="FFFFFF"/>
      </a:lt1>
      <a:dk2>
        <a:srgbClr val="0054A6"/>
      </a:dk2>
      <a:lt2>
        <a:srgbClr val="939598"/>
      </a:lt2>
      <a:accent1>
        <a:srgbClr val="0054A6"/>
      </a:accent1>
      <a:accent2>
        <a:srgbClr val="F58220"/>
      </a:accent2>
      <a:accent3>
        <a:srgbClr val="FFCB05"/>
      </a:accent3>
      <a:accent4>
        <a:srgbClr val="8064A2"/>
      </a:accent4>
      <a:accent5>
        <a:srgbClr val="4BACC6"/>
      </a:accent5>
      <a:accent6>
        <a:srgbClr val="F79646"/>
      </a:accent6>
      <a:hlink>
        <a:srgbClr val="0000FF"/>
      </a:hlink>
      <a:folHlink>
        <a:srgbClr val="800080"/>
      </a:folHlink>
    </a:clrScheme>
    <a:fontScheme name="ETC">
      <a:majorFont>
        <a:latin typeface="Arial Black"/>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6262404605B449F931452738B88D3" ma:contentTypeVersion="3" ma:contentTypeDescription="Create a new document." ma:contentTypeScope="" ma:versionID="21eeb339838dd4bc709595a817c04db7">
  <xsd:schema xmlns:xsd="http://www.w3.org/2001/XMLSchema" xmlns:xs="http://www.w3.org/2001/XMLSchema" xmlns:p="http://schemas.microsoft.com/office/2006/metadata/properties" xmlns:ns1="http://schemas.microsoft.com/sharepoint/v3" targetNamespace="http://schemas.microsoft.com/office/2006/metadata/properties" ma:root="true" ma:fieldsID="8860f4b057a51a384931de9f58a07171"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Props1.xml><?xml version="1.0" encoding="utf-8"?>
<ds:datastoreItem xmlns:ds="http://schemas.openxmlformats.org/officeDocument/2006/customXml" ds:itemID="{C72E9ACD-F446-4BAB-B0D6-E96DBF218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9C010-0DA3-463D-AE47-6FDCFEB37EE6}">
  <ds:schemaRefs>
    <ds:schemaRef ds:uri="http://schemas.microsoft.com/sharepoint/v3/contenttype/forms"/>
  </ds:schemaRefs>
</ds:datastoreItem>
</file>

<file path=customXml/itemProps3.xml><?xml version="1.0" encoding="utf-8"?>
<ds:datastoreItem xmlns:ds="http://schemas.openxmlformats.org/officeDocument/2006/customXml" ds:itemID="{4F228446-15B5-4FEB-AA69-82FA4FB0F0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ETC 2020 Strategy Process - Work Streams Framework</vt:lpstr>
    </vt:vector>
  </TitlesOfParts>
  <Company>Emergency Telecommunications Cluster</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 2020 Strategy Process - Work Streams Framework</dc:title>
  <dc:creator>Eric Amiani Kiruhura</dc:creator>
  <cp:keywords>ETC;ETC 2020;Strategy Development;Thematic Areas;Work Streams</cp:keywords>
  <cp:lastModifiedBy>CHOJNACKA Katarzyna</cp:lastModifiedBy>
  <cp:revision>2</cp:revision>
  <dcterms:created xsi:type="dcterms:W3CDTF">2015-07-14T10:58:00Z</dcterms:created>
  <dcterms:modified xsi:type="dcterms:W3CDTF">2015-07-14T10:58:00Z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0x010100CCF6262404605B449F931452738B88D3</vt:lpwstr>
  </property>
</Properties>
</file>